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EA8AC">
      <w:pPr>
        <w:spacing w:before="100" w:beforeLines="0" w:after="100" w:afterLines="0"/>
        <w:jc w:val="center"/>
        <w:rPr>
          <w:rFonts w:hint="eastAsia" w:ascii="宋体" w:hAnsi="宋体"/>
          <w:sz w:val="24"/>
          <w:szCs w:val="24"/>
          <w:lang w:val="zh-CN"/>
        </w:rPr>
      </w:pPr>
    </w:p>
    <w:p w14:paraId="51AD9F8B">
      <w:pPr>
        <w:spacing w:before="100" w:beforeLines="0" w:after="100" w:afterLines="0"/>
        <w:jc w:val="center"/>
        <w:rPr>
          <w:rFonts w:hint="eastAsia" w:ascii="宋体" w:hAnsi="宋体"/>
          <w:sz w:val="24"/>
          <w:szCs w:val="24"/>
          <w:lang w:val="zh-CN"/>
        </w:rPr>
      </w:pPr>
    </w:p>
    <w:p w14:paraId="251854D2">
      <w:pPr>
        <w:spacing w:before="100" w:beforeLines="0" w:after="100" w:afterLines="0"/>
        <w:jc w:val="center"/>
        <w:rPr>
          <w:rFonts w:hint="eastAsia" w:ascii="宋体" w:hAnsi="宋体"/>
          <w:sz w:val="24"/>
          <w:szCs w:val="24"/>
          <w:lang w:val="zh-CN"/>
        </w:rPr>
      </w:pPr>
    </w:p>
    <w:p w14:paraId="1CEA944B">
      <w:pPr>
        <w:spacing w:before="100" w:beforeLines="0" w:after="100" w:afterLines="0"/>
        <w:jc w:val="center"/>
        <w:rPr>
          <w:rFonts w:hint="eastAsia" w:ascii="宋体" w:hAnsi="宋体"/>
          <w:sz w:val="24"/>
          <w:szCs w:val="24"/>
          <w:lang w:val="zh-CN"/>
        </w:rPr>
      </w:pPr>
    </w:p>
    <w:p w14:paraId="4D5F6A8A">
      <w:pPr>
        <w:spacing w:before="100" w:beforeLines="0" w:after="100" w:afterLines="0"/>
        <w:jc w:val="center"/>
        <w:rPr>
          <w:rFonts w:hint="eastAsia" w:ascii="宋体" w:hAnsi="宋体"/>
          <w:sz w:val="24"/>
          <w:szCs w:val="24"/>
          <w:lang w:val="zh-CN"/>
        </w:rPr>
      </w:pPr>
    </w:p>
    <w:p w14:paraId="2E6CB302">
      <w:pPr>
        <w:spacing w:before="100" w:beforeLines="0" w:after="100" w:afterLines="0"/>
        <w:jc w:val="center"/>
        <w:rPr>
          <w:rFonts w:hint="eastAsia" w:ascii="宋体" w:hAnsi="宋体"/>
          <w:sz w:val="24"/>
          <w:szCs w:val="24"/>
          <w:lang w:val="zh-CN"/>
        </w:rPr>
      </w:pPr>
    </w:p>
    <w:p w14:paraId="2245B283">
      <w:pPr>
        <w:spacing w:before="100" w:beforeLines="0" w:after="100" w:afterLines="0"/>
        <w:jc w:val="center"/>
        <w:rPr>
          <w:rFonts w:hint="eastAsia" w:ascii="宋体" w:hAnsi="宋体"/>
          <w:sz w:val="24"/>
          <w:szCs w:val="24"/>
          <w:lang w:val="zh-CN"/>
        </w:rPr>
      </w:pPr>
    </w:p>
    <w:p w14:paraId="4E018945">
      <w:pPr>
        <w:spacing w:before="100" w:beforeLines="0" w:after="100" w:afterLines="0"/>
        <w:jc w:val="center"/>
        <w:rPr>
          <w:rFonts w:hint="eastAsia" w:ascii="宋体" w:hAnsi="宋体"/>
          <w:sz w:val="24"/>
          <w:szCs w:val="24"/>
          <w:lang w:val="zh-CN"/>
        </w:rPr>
      </w:pPr>
    </w:p>
    <w:p w14:paraId="47362C06">
      <w:pPr>
        <w:spacing w:before="100" w:beforeLines="0" w:after="100" w:afterLines="0"/>
        <w:jc w:val="center"/>
        <w:rPr>
          <w:rFonts w:hint="eastAsia" w:ascii="宋体" w:hAnsi="宋体"/>
          <w:sz w:val="24"/>
          <w:szCs w:val="24"/>
          <w:lang w:val="zh-CN"/>
        </w:rPr>
      </w:pPr>
    </w:p>
    <w:p w14:paraId="38ADC879">
      <w:pPr>
        <w:spacing w:before="100" w:beforeLines="0" w:after="100" w:afterLines="0"/>
        <w:jc w:val="center"/>
        <w:rPr>
          <w:rFonts w:hint="eastAsia" w:ascii="宋体" w:hAnsi="宋体"/>
          <w:sz w:val="24"/>
          <w:szCs w:val="24"/>
          <w:lang w:val="zh-CN"/>
        </w:rPr>
      </w:pPr>
    </w:p>
    <w:p w14:paraId="5971D200">
      <w:pPr>
        <w:spacing w:before="100" w:beforeLines="0" w:after="100" w:afterLines="0"/>
        <w:jc w:val="center"/>
        <w:rPr>
          <w:rFonts w:hint="eastAsia" w:ascii="宋体" w:hAnsi="宋体"/>
          <w:sz w:val="24"/>
          <w:szCs w:val="24"/>
          <w:lang w:val="zh-CN"/>
        </w:rPr>
      </w:pPr>
    </w:p>
    <w:p w14:paraId="190C9343">
      <w:pPr>
        <w:spacing w:before="100" w:beforeLines="0" w:after="100" w:afterLines="0"/>
        <w:jc w:val="center"/>
        <w:rPr>
          <w:rFonts w:hint="eastAsia" w:ascii="宋体" w:hAnsi="宋体"/>
          <w:sz w:val="24"/>
          <w:szCs w:val="24"/>
          <w:lang w:val="zh-CN"/>
        </w:rPr>
      </w:pPr>
    </w:p>
    <w:p w14:paraId="7C28F490">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7D04A4AB">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东乡族自治县东塬乡人民政府部门决算</w:t>
      </w:r>
    </w:p>
    <w:p w14:paraId="4CF1CAF4">
      <w:pPr>
        <w:spacing w:before="100" w:beforeLines="0" w:after="100" w:afterLines="0"/>
        <w:jc w:val="center"/>
        <w:rPr>
          <w:rFonts w:hint="eastAsia" w:ascii="宋体" w:hAnsi="宋体"/>
          <w:sz w:val="24"/>
          <w:szCs w:val="24"/>
          <w:lang w:val="zh-CN"/>
        </w:rPr>
      </w:pPr>
    </w:p>
    <w:p w14:paraId="4BB773CA">
      <w:pPr>
        <w:spacing w:before="100" w:beforeLines="0" w:after="100" w:afterLines="0"/>
        <w:jc w:val="center"/>
        <w:rPr>
          <w:rFonts w:hint="eastAsia" w:ascii="宋体" w:hAnsi="宋体"/>
          <w:sz w:val="24"/>
          <w:szCs w:val="24"/>
          <w:lang w:val="zh-CN"/>
        </w:rPr>
      </w:pPr>
    </w:p>
    <w:p w14:paraId="77AE511C">
      <w:pPr>
        <w:spacing w:before="100" w:beforeLines="0" w:after="100" w:afterLines="0"/>
        <w:jc w:val="center"/>
        <w:rPr>
          <w:rFonts w:hint="eastAsia" w:ascii="宋体" w:hAnsi="宋体"/>
          <w:sz w:val="24"/>
          <w:szCs w:val="24"/>
          <w:lang w:val="zh-CN"/>
        </w:rPr>
      </w:pPr>
    </w:p>
    <w:p w14:paraId="24ECC5F0">
      <w:pPr>
        <w:spacing w:before="100" w:beforeLines="0" w:after="100" w:afterLines="0"/>
        <w:jc w:val="center"/>
        <w:rPr>
          <w:rFonts w:hint="eastAsia" w:ascii="宋体" w:hAnsi="宋体"/>
          <w:sz w:val="24"/>
          <w:szCs w:val="24"/>
          <w:lang w:val="zh-CN"/>
        </w:rPr>
      </w:pPr>
    </w:p>
    <w:p w14:paraId="3129C92D">
      <w:pPr>
        <w:spacing w:before="100" w:beforeLines="0" w:after="100" w:afterLines="0"/>
        <w:jc w:val="center"/>
        <w:rPr>
          <w:rFonts w:hint="eastAsia" w:ascii="宋体" w:hAnsi="宋体"/>
          <w:sz w:val="24"/>
          <w:szCs w:val="24"/>
          <w:lang w:val="zh-CN"/>
        </w:rPr>
      </w:pPr>
    </w:p>
    <w:p w14:paraId="4711770F">
      <w:pPr>
        <w:spacing w:before="100" w:beforeLines="0" w:after="100" w:afterLines="0"/>
        <w:jc w:val="center"/>
        <w:rPr>
          <w:rFonts w:hint="eastAsia" w:ascii="宋体" w:hAnsi="宋体"/>
          <w:sz w:val="24"/>
          <w:szCs w:val="24"/>
          <w:lang w:val="zh-CN"/>
        </w:rPr>
      </w:pPr>
    </w:p>
    <w:p w14:paraId="392217DD">
      <w:pPr>
        <w:spacing w:before="100" w:beforeLines="0" w:after="100" w:afterLines="0"/>
        <w:jc w:val="center"/>
        <w:rPr>
          <w:rFonts w:hint="eastAsia" w:ascii="宋体" w:hAnsi="宋体"/>
          <w:sz w:val="24"/>
          <w:szCs w:val="24"/>
          <w:lang w:val="zh-CN"/>
        </w:rPr>
      </w:pPr>
    </w:p>
    <w:p w14:paraId="095C2AFE">
      <w:pPr>
        <w:spacing w:before="100" w:beforeLines="0" w:after="100" w:afterLines="0"/>
        <w:jc w:val="center"/>
        <w:rPr>
          <w:rFonts w:hint="eastAsia" w:ascii="宋体" w:hAnsi="宋体"/>
          <w:sz w:val="24"/>
          <w:szCs w:val="24"/>
          <w:lang w:val="zh-CN"/>
        </w:rPr>
      </w:pPr>
    </w:p>
    <w:p w14:paraId="67ADFE5A">
      <w:pPr>
        <w:spacing w:before="100" w:beforeLines="0" w:after="100" w:afterLines="0"/>
        <w:jc w:val="center"/>
        <w:rPr>
          <w:rFonts w:hint="eastAsia" w:ascii="宋体" w:hAnsi="宋体"/>
          <w:sz w:val="24"/>
          <w:szCs w:val="24"/>
          <w:lang w:val="zh-CN"/>
        </w:rPr>
      </w:pPr>
    </w:p>
    <w:p w14:paraId="1815A064">
      <w:pPr>
        <w:spacing w:before="100" w:beforeLines="0" w:after="100" w:afterLines="0"/>
        <w:jc w:val="center"/>
        <w:rPr>
          <w:rFonts w:hint="eastAsia" w:ascii="宋体" w:hAnsi="宋体"/>
          <w:sz w:val="24"/>
          <w:szCs w:val="24"/>
          <w:lang w:val="zh-CN"/>
        </w:rPr>
      </w:pPr>
    </w:p>
    <w:p w14:paraId="45D831F5">
      <w:pPr>
        <w:spacing w:before="100" w:beforeLines="0" w:after="100" w:afterLines="0"/>
        <w:jc w:val="center"/>
        <w:rPr>
          <w:rFonts w:hint="eastAsia" w:ascii="宋体" w:hAnsi="宋体"/>
          <w:sz w:val="24"/>
          <w:szCs w:val="24"/>
          <w:lang w:val="zh-CN"/>
        </w:rPr>
      </w:pPr>
    </w:p>
    <w:p w14:paraId="0DBD9750">
      <w:pPr>
        <w:spacing w:before="100" w:beforeLines="0" w:after="100" w:afterLines="0"/>
        <w:jc w:val="center"/>
        <w:rPr>
          <w:rFonts w:hint="eastAsia" w:ascii="宋体" w:hAnsi="宋体"/>
          <w:sz w:val="24"/>
          <w:szCs w:val="24"/>
          <w:lang w:val="zh-CN"/>
        </w:rPr>
      </w:pPr>
    </w:p>
    <w:p w14:paraId="5731259E">
      <w:pPr>
        <w:spacing w:before="100" w:beforeLines="0" w:after="100" w:afterLines="0"/>
        <w:jc w:val="center"/>
        <w:rPr>
          <w:rFonts w:hint="eastAsia" w:ascii="宋体" w:hAnsi="宋体"/>
          <w:sz w:val="24"/>
          <w:szCs w:val="24"/>
          <w:lang w:val="zh-CN"/>
        </w:rPr>
      </w:pPr>
    </w:p>
    <w:p w14:paraId="1233AB36">
      <w:pPr>
        <w:spacing w:before="100" w:beforeLines="0" w:after="100" w:afterLines="0"/>
        <w:jc w:val="center"/>
        <w:rPr>
          <w:rFonts w:hint="eastAsia" w:ascii="宋体" w:hAnsi="宋体"/>
          <w:sz w:val="24"/>
          <w:szCs w:val="24"/>
          <w:lang w:val="zh-CN"/>
        </w:rPr>
      </w:pPr>
    </w:p>
    <w:p w14:paraId="4B7A05FC">
      <w:pPr>
        <w:spacing w:before="100" w:beforeLines="0" w:after="100" w:afterLines="0"/>
        <w:jc w:val="center"/>
        <w:rPr>
          <w:rFonts w:hint="eastAsia" w:ascii="宋体" w:hAnsi="宋体"/>
          <w:sz w:val="24"/>
          <w:szCs w:val="24"/>
          <w:lang w:val="zh-CN"/>
        </w:rPr>
      </w:pPr>
    </w:p>
    <w:p w14:paraId="024B453D">
      <w:pPr>
        <w:spacing w:before="100" w:beforeLines="0" w:after="100" w:afterLines="0"/>
        <w:jc w:val="center"/>
        <w:rPr>
          <w:rFonts w:hint="eastAsia" w:ascii="宋体" w:hAnsi="宋体"/>
          <w:sz w:val="24"/>
          <w:szCs w:val="24"/>
          <w:lang w:val="zh-CN"/>
        </w:rPr>
      </w:pPr>
    </w:p>
    <w:p w14:paraId="34CAD559">
      <w:pPr>
        <w:spacing w:before="100" w:beforeLines="0" w:after="100" w:afterLines="0"/>
        <w:jc w:val="center"/>
        <w:rPr>
          <w:rFonts w:hint="eastAsia" w:ascii="宋体" w:hAnsi="宋体"/>
          <w:sz w:val="24"/>
          <w:szCs w:val="24"/>
          <w:lang w:val="zh-CN"/>
        </w:rPr>
      </w:pPr>
    </w:p>
    <w:p w14:paraId="1F61AFF5">
      <w:pPr>
        <w:spacing w:before="100" w:beforeLines="0" w:after="100" w:afterLines="0"/>
        <w:jc w:val="center"/>
        <w:rPr>
          <w:rFonts w:hint="eastAsia" w:ascii="宋体" w:hAnsi="宋体"/>
          <w:sz w:val="24"/>
          <w:szCs w:val="24"/>
          <w:lang w:val="zh-CN"/>
        </w:rPr>
      </w:pPr>
    </w:p>
    <w:p w14:paraId="24FD2ABE">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78DA5693">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1E64B71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307710D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798ECDA2">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2D4ED58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16334F2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574906C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7D6BE1B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1EE454E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32DBE10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5D05F07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3854384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6C20B3C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1F5FD2D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462B031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152D576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7B6EF07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0F0753B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1BFD2F5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095773C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7B920696">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7ECAE3B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45F55275">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0A86C2BB">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7D7937B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1DE93D9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30450C6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15158ACE">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0BD231BD">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599223C4">
      <w:pPr>
        <w:spacing w:before="100" w:beforeLines="0" w:after="100" w:afterLines="0"/>
        <w:jc w:val="center"/>
        <w:rPr>
          <w:rFonts w:hint="eastAsia" w:ascii="宋体" w:hAnsi="宋体"/>
          <w:sz w:val="24"/>
          <w:szCs w:val="24"/>
          <w:lang w:val="zh-CN"/>
        </w:rPr>
      </w:pPr>
    </w:p>
    <w:p w14:paraId="7015A9EE">
      <w:pPr>
        <w:spacing w:before="100" w:beforeLines="0" w:after="100" w:afterLines="0"/>
        <w:jc w:val="center"/>
        <w:rPr>
          <w:rFonts w:hint="eastAsia" w:ascii="宋体" w:hAnsi="宋体"/>
          <w:sz w:val="24"/>
          <w:szCs w:val="24"/>
          <w:lang w:val="zh-CN"/>
        </w:rPr>
      </w:pPr>
    </w:p>
    <w:p w14:paraId="2D7869A3">
      <w:pPr>
        <w:spacing w:before="100" w:beforeLines="0" w:after="100" w:afterLines="0"/>
        <w:jc w:val="center"/>
        <w:rPr>
          <w:rFonts w:hint="eastAsia" w:ascii="宋体" w:hAnsi="宋体"/>
          <w:sz w:val="24"/>
          <w:szCs w:val="24"/>
          <w:lang w:val="zh-CN"/>
        </w:rPr>
      </w:pPr>
    </w:p>
    <w:p w14:paraId="2F739C7B">
      <w:pPr>
        <w:spacing w:before="100" w:beforeLines="0" w:after="100" w:afterLines="0"/>
        <w:jc w:val="center"/>
        <w:rPr>
          <w:rFonts w:hint="eastAsia" w:ascii="宋体" w:hAnsi="宋体"/>
          <w:sz w:val="24"/>
          <w:szCs w:val="24"/>
          <w:lang w:val="zh-CN"/>
        </w:rPr>
      </w:pPr>
    </w:p>
    <w:p w14:paraId="1D38E07D">
      <w:pPr>
        <w:spacing w:before="100" w:beforeLines="0" w:after="100" w:afterLines="0"/>
        <w:jc w:val="center"/>
        <w:rPr>
          <w:rFonts w:hint="eastAsia" w:ascii="宋体" w:hAnsi="宋体"/>
          <w:sz w:val="24"/>
          <w:szCs w:val="24"/>
          <w:lang w:val="zh-CN"/>
        </w:rPr>
      </w:pPr>
    </w:p>
    <w:p w14:paraId="655AE14D">
      <w:pPr>
        <w:spacing w:before="100" w:beforeLines="0" w:after="100" w:afterLines="0"/>
        <w:jc w:val="center"/>
        <w:rPr>
          <w:rFonts w:hint="eastAsia" w:ascii="宋体" w:hAnsi="宋体"/>
          <w:sz w:val="24"/>
          <w:szCs w:val="24"/>
          <w:lang w:val="zh-CN"/>
        </w:rPr>
      </w:pPr>
    </w:p>
    <w:p w14:paraId="5D074C2E">
      <w:pPr>
        <w:spacing w:before="100" w:beforeLines="0" w:after="100" w:afterLines="0"/>
        <w:jc w:val="center"/>
        <w:rPr>
          <w:rFonts w:hint="eastAsia" w:ascii="宋体" w:hAnsi="宋体"/>
          <w:sz w:val="24"/>
          <w:szCs w:val="24"/>
          <w:lang w:val="zh-CN"/>
        </w:rPr>
      </w:pPr>
    </w:p>
    <w:p w14:paraId="174C949D">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4F38794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53CA7518">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1.宣传和贯彻执行党的路线方针政策和法律法规;制定地方经济社会发展规划和年度计划并组织实施;坚持依法行政，推进民主政治，加强基层政权建设;做好农业、农村、农民和社区工作，推进乡村振兴。</w:t>
      </w:r>
    </w:p>
    <w:p w14:paraId="2B6CC2BA">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2.落实基层管党治党工作责任制，加强党员队伍的思想建设、组织建设、作风建设、制度建设和党风廉政建设;做好党员管理、发展工作，改善党员队伍结构，提高党员素质;加强党对意识形态和统一战线工作的领导;加强人民武装、民族宗教等工作;指导工会、共青团、妇联等群团工作。</w:t>
      </w:r>
    </w:p>
    <w:p w14:paraId="6DA79454">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3.规范经济管理，组织指导经济发展和经济结构调整;加强综合生产能力建设;健全社会化服务体系，完善产业支持保护体系，推进产业现代化;着力提升经济发展的质量和水平，发展壮大村级集体经济，增加村民收入，不断提高人民生活水平。</w:t>
      </w:r>
    </w:p>
    <w:p w14:paraId="20B19F24">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4.加强社会管理和基础设施建设，创造良好环境;推进政务、村务公开;抓好卫生健康、人口计划生育工作，保障妇女儿童合法权益;加强自然资源管理、生态环境保护和修复等工作;保障退役军人合法权益;强化安全生产和公共安全，组织抢险救灾、优抚救助，及时上报和处置重大社情、疫情、险情等，保护人民群众的生命财产安全。</w:t>
      </w:r>
    </w:p>
    <w:p w14:paraId="2455243C">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5.发展公益事业，强化公共服务;加强公共设施建设，开展就业和社会保障服务，着力解决群众生产生活中的问题;发展科教文卫事业，建设健康农村，丰富农民群众文化生活，促进乡风文明;制定公共服务事项目录清单，加强公共服务体系建设。</w:t>
      </w:r>
    </w:p>
    <w:p w14:paraId="46E7319B">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6.加强综合治理，维护社会稳定;强化民主法制宣传教育，畅通诉求渠道、调解民事纠纷、化解社会矛盾，处理群体性突发事件，保证社会公正，维护社会秩序和社会稳定;指导村民自治，推动基层社会建设，促进社会组织健康发展，增强社会自治功能。</w:t>
      </w:r>
    </w:p>
    <w:p w14:paraId="096F9114">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7.按照管理权限，负责机关和事业单位工作人员的教育、培养、选拔和监督工作;协助管理好派驻单位人员。</w:t>
      </w:r>
    </w:p>
    <w:p w14:paraId="6C6FAA0D">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8</w:t>
      </w:r>
      <w:r>
        <w:rPr>
          <w:rFonts w:hint="eastAsia" w:ascii="宋体" w:hAnsi="宋体"/>
          <w:color w:val="auto"/>
          <w:sz w:val="24"/>
          <w:szCs w:val="24"/>
          <w:lang w:val="zh-CN"/>
        </w:rPr>
        <w:t>.法律、法规规定和县委、县政府交办的其他事项。</w:t>
      </w:r>
    </w:p>
    <w:p w14:paraId="6C80E5A7">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9</w:t>
      </w:r>
      <w:r>
        <w:rPr>
          <w:rFonts w:hint="eastAsia" w:ascii="宋体" w:hAnsi="宋体"/>
          <w:color w:val="auto"/>
          <w:sz w:val="24"/>
          <w:szCs w:val="24"/>
          <w:lang w:val="zh-CN"/>
        </w:rPr>
        <w:t>.职能转变</w:t>
      </w:r>
    </w:p>
    <w:p w14:paraId="6700276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71039431">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eastAsia="宋体"/>
          <w:color w:val="auto"/>
          <w:sz w:val="24"/>
          <w:szCs w:val="24"/>
          <w:lang w:val="en-US" w:eastAsia="zh-CN"/>
        </w:rPr>
      </w:pPr>
      <w:r>
        <w:rPr>
          <w:rFonts w:hint="eastAsia" w:ascii="宋体" w:hAnsi="宋体"/>
          <w:color w:val="auto"/>
          <w:sz w:val="24"/>
          <w:szCs w:val="24"/>
          <w:lang w:val="zh-CN" w:eastAsia="zh-CN"/>
        </w:rPr>
        <w:t>东塬</w:t>
      </w:r>
      <w:r>
        <w:rPr>
          <w:rFonts w:hint="eastAsia" w:ascii="宋体" w:hAnsi="宋体"/>
          <w:color w:val="auto"/>
          <w:sz w:val="24"/>
          <w:szCs w:val="24"/>
          <w:lang w:val="zh-CN"/>
        </w:rPr>
        <w:t>乡设置党政机构4个，具体为：党政综合办公室、党建工作办公室、经济发展和社会事务办公室、</w:t>
      </w:r>
      <w:r>
        <w:rPr>
          <w:rFonts w:hint="eastAsia" w:ascii="宋体" w:hAnsi="宋体"/>
          <w:color w:val="auto"/>
          <w:sz w:val="24"/>
          <w:szCs w:val="24"/>
          <w:lang w:val="zh-CN" w:eastAsia="zh-CN"/>
        </w:rPr>
        <w:t>平安法治办公室</w:t>
      </w:r>
    </w:p>
    <w:p w14:paraId="1D20C956">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3EB47BF8">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(请插入具体报表,若无法插入,请标明见附件)</w:t>
      </w:r>
    </w:p>
    <w:p w14:paraId="7F1F79F6">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p w14:paraId="18769853">
      <w:pPr>
        <w:numPr>
          <w:numId w:val="0"/>
        </w:numPr>
        <w:spacing w:before="100" w:beforeLines="0" w:after="100" w:afterLines="0"/>
        <w:jc w:val="left"/>
        <w:rPr>
          <w:rFonts w:hint="eastAsia" w:ascii="宋体" w:hAnsi="宋体"/>
          <w:color w:val="auto"/>
          <w:sz w:val="24"/>
          <w:szCs w:val="24"/>
          <w:lang w:val="zh-CN"/>
        </w:rPr>
      </w:pPr>
      <w:r>
        <w:drawing>
          <wp:inline distT="0" distB="0" distL="114300" distR="114300">
            <wp:extent cx="5482590" cy="42329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82590" cy="4232910"/>
                    </a:xfrm>
                    <a:prstGeom prst="rect">
                      <a:avLst/>
                    </a:prstGeom>
                    <a:noFill/>
                    <a:ln>
                      <a:noFill/>
                    </a:ln>
                  </pic:spPr>
                </pic:pic>
              </a:graphicData>
            </a:graphic>
          </wp:inline>
        </w:drawing>
      </w:r>
    </w:p>
    <w:p w14:paraId="270555E0">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p w14:paraId="1B579B8C">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481320" cy="1964055"/>
            <wp:effectExtent l="0" t="0" r="508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481320" cy="1964055"/>
                    </a:xfrm>
                    <a:prstGeom prst="rect">
                      <a:avLst/>
                    </a:prstGeom>
                    <a:noFill/>
                    <a:ln>
                      <a:noFill/>
                    </a:ln>
                  </pic:spPr>
                </pic:pic>
              </a:graphicData>
            </a:graphic>
          </wp:inline>
        </w:drawing>
      </w:r>
    </w:p>
    <w:p w14:paraId="38C4B1BC">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p w14:paraId="6A3CBF52">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481320" cy="2203450"/>
            <wp:effectExtent l="0" t="0" r="508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481320" cy="2203450"/>
                    </a:xfrm>
                    <a:prstGeom prst="rect">
                      <a:avLst/>
                    </a:prstGeom>
                    <a:noFill/>
                    <a:ln>
                      <a:noFill/>
                    </a:ln>
                  </pic:spPr>
                </pic:pic>
              </a:graphicData>
            </a:graphic>
          </wp:inline>
        </w:drawing>
      </w:r>
    </w:p>
    <w:p w14:paraId="5664C869">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p w14:paraId="01BEDBB7">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477510" cy="3786505"/>
            <wp:effectExtent l="0" t="0" r="889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477510" cy="3786505"/>
                    </a:xfrm>
                    <a:prstGeom prst="rect">
                      <a:avLst/>
                    </a:prstGeom>
                    <a:noFill/>
                    <a:ln>
                      <a:noFill/>
                    </a:ln>
                  </pic:spPr>
                </pic:pic>
              </a:graphicData>
            </a:graphic>
          </wp:inline>
        </w:drawing>
      </w:r>
    </w:p>
    <w:p w14:paraId="49BA7E59">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p w14:paraId="4703B052">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485130" cy="2858770"/>
            <wp:effectExtent l="0" t="0" r="1270"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485130" cy="2858770"/>
                    </a:xfrm>
                    <a:prstGeom prst="rect">
                      <a:avLst/>
                    </a:prstGeom>
                    <a:noFill/>
                    <a:ln>
                      <a:noFill/>
                    </a:ln>
                  </pic:spPr>
                </pic:pic>
              </a:graphicData>
            </a:graphic>
          </wp:inline>
        </w:drawing>
      </w:r>
    </w:p>
    <w:p w14:paraId="3EAB90EC">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p w14:paraId="79F7C6F9">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483225" cy="3035935"/>
            <wp:effectExtent l="0" t="0" r="317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483225" cy="3035935"/>
                    </a:xfrm>
                    <a:prstGeom prst="rect">
                      <a:avLst/>
                    </a:prstGeom>
                    <a:noFill/>
                    <a:ln>
                      <a:noFill/>
                    </a:ln>
                  </pic:spPr>
                </pic:pic>
              </a:graphicData>
            </a:graphic>
          </wp:inline>
        </w:drawing>
      </w:r>
    </w:p>
    <w:p w14:paraId="4DAE2B04">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p w14:paraId="138E105A">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t>本部门没有相关数据,故本表无数据。</w:t>
      </w:r>
    </w:p>
    <w:p w14:paraId="528E575C">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p w14:paraId="5D34929E">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t>本部门没有相关数据,故本表无数据。</w:t>
      </w:r>
    </w:p>
    <w:p w14:paraId="0A28CBB3">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7773C038">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t>本部门没有相关数据,故本表无数据。</w:t>
      </w:r>
    </w:p>
    <w:p w14:paraId="7F4395B6">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0C2E35F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56070A73">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1411.49万元。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减少244.7万元,下降14.77%,主要原因是支出压缩及项目减少。</w:t>
      </w:r>
    </w:p>
    <w:p w14:paraId="268ACEB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00220C8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2023年度收入合计1257.60万元,其中：财政拨款收入1257.60万元,占100.00%；</w:t>
      </w:r>
    </w:p>
    <w:p w14:paraId="1A68364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3F1CA0A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2023年度支出合计1257.60万元,其中：基本支出867.19万元,占68.96%；项目支出390.41万元,占31.04%；</w:t>
      </w:r>
    </w:p>
    <w:p w14:paraId="6118FBF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73AB1EF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1411.49万元。与</w:t>
      </w:r>
      <w:r>
        <w:rPr>
          <w:rFonts w:hint="eastAsia" w:ascii="宋体" w:hAnsi="宋体"/>
          <w:color w:val="auto"/>
          <w:sz w:val="24"/>
          <w:szCs w:val="24"/>
          <w:lang w:val="en-US"/>
        </w:rPr>
        <w:t>上</w:t>
      </w:r>
      <w:r>
        <w:rPr>
          <w:rFonts w:hint="eastAsia" w:ascii="宋体" w:hAnsi="宋体"/>
          <w:color w:val="auto"/>
          <w:sz w:val="24"/>
          <w:szCs w:val="24"/>
          <w:lang w:val="zh-CN"/>
        </w:rPr>
        <w:t>年相比,各减少168.56万元,下降10.67%。主要原因是支出压缩及项目减少。</w:t>
      </w:r>
    </w:p>
    <w:p w14:paraId="2B87734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7A60162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7FF22C25">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2023年度一般公共预算财政拨款支出1257.60万元,较上年决算数减少168.56万元,下降11.82%。主要原因是支出压缩及项目减少。</w:t>
      </w:r>
    </w:p>
    <w:p w14:paraId="1EBAC626">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45C2453A">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1257.60万元，主要用于以下方面：一般公共服务支出779.22万元,占61.96%；公共安全支出4.00万元,占0.32%；文化旅游体育与传媒支出7.90万元，占0.63%；社会保障和就业支出67.20万元,占5.34%；卫生健康支出34.29万元,占2.73%；农林水支出307.56万元,占24.46%；住房保障支出57.43万元,占4.57%。</w:t>
      </w:r>
    </w:p>
    <w:p w14:paraId="15D2CCB8">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16482E58">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1220.84万元,支出决算为1257.60万元,完成年初预算的103.01%。其中：</w:t>
      </w:r>
    </w:p>
    <w:p w14:paraId="342D8B71">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年初预算数为733.51万元,支出决算为779.22万元,完成年初预算的106.23%,决算数大于预算数的主要原因是中期追加资金。</w:t>
      </w:r>
    </w:p>
    <w:p w14:paraId="58C4DEE4">
      <w:pPr>
        <w:spacing w:before="100" w:beforeLines="0" w:after="100" w:afterLines="0"/>
        <w:jc w:val="left"/>
        <w:rPr>
          <w:rFonts w:hint="eastAsia" w:ascii="宋体" w:hAnsi="宋体"/>
          <w:b w:val="0"/>
          <w:bCs w:val="0"/>
          <w:color w:val="auto"/>
          <w:sz w:val="24"/>
          <w:szCs w:val="24"/>
          <w:lang w:val="zh-CN"/>
        </w:rPr>
      </w:pPr>
      <w:r>
        <w:rPr>
          <w:rFonts w:hint="eastAsia" w:ascii="宋体" w:hAnsi="宋体"/>
          <w:b/>
          <w:color w:val="auto"/>
          <w:sz w:val="24"/>
          <w:szCs w:val="24"/>
          <w:lang w:val="en-US" w:eastAsia="zh-CN"/>
        </w:rPr>
        <w:t>2</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年初预算数为0.00万元,支出决算为7.90万元,完成年初预算的%,决算数大于预算数的</w:t>
      </w:r>
      <w:r>
        <w:rPr>
          <w:rFonts w:hint="eastAsia" w:ascii="宋体" w:hAnsi="宋体"/>
          <w:b w:val="0"/>
          <w:bCs w:val="0"/>
          <w:color w:val="auto"/>
          <w:sz w:val="24"/>
          <w:szCs w:val="24"/>
          <w:lang w:val="zh-CN"/>
        </w:rPr>
        <w:t>主要原因是文旅宣传活动持续推进，中期追加资金。</w:t>
      </w:r>
    </w:p>
    <w:p w14:paraId="4E0E334F">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年初预算数为88.27万元,支出决算为67.20万元,完成年初预算的76.14%,决算数小于预算数的主要原因是人员调动后干部人数减少。</w:t>
      </w:r>
    </w:p>
    <w:p w14:paraId="58A88CBC">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年初预算数为34.47万元,支出决算为34.29万元,完成年初预算的99.47%,决算数小于预算数的主要原因是人员调动后干部人数减少。</w:t>
      </w:r>
    </w:p>
    <w:p w14:paraId="0877FAEC">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5</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年初预算数为302.46万元,支出决算为307.56万元,完成年初预算的101.69%,决算数大于预算数的主要原因是年初预算不到位，中期调剂。</w:t>
      </w:r>
    </w:p>
    <w:p w14:paraId="615B1EA9">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6</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年初预算数为62.13万元,支出决算为57.43万元,完成年初预算的92.43%,决算数小于预算数的主要原因是人员调动后干部人数减少。</w:t>
      </w:r>
    </w:p>
    <w:p w14:paraId="698EC94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7D8706A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2023年度一般公共预算财政拨款基本支出867.19万元。其中：</w:t>
      </w:r>
    </w:p>
    <w:p w14:paraId="54117F47">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785.78万元,较上年决算数减少71.28万元,下降8.32%,主要原因是无新招录人员及部分人员调动人数减少。人员经费用途主要包括基本工资、津贴补贴、奖金、社会保障缴费、住房公积金、对个人和家庭的补助。</w:t>
      </w:r>
    </w:p>
    <w:p w14:paraId="3B32CEDF">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81.41万元,较上年决算数减少103.84万元,下降56.06%,主要原因是预算减少及年底部分资金未支出，公用经费用途主要包括办公费、电费、取暖费、差旅费、劳务费。</w:t>
      </w:r>
    </w:p>
    <w:p w14:paraId="0B8F218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4682058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本部门2023年度无政府性基金收入,也没有使用政府性基金安排的支出</w:t>
      </w:r>
    </w:p>
    <w:p w14:paraId="58A5EFF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60A1B45B">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本部门2023年度没有使用国有资本经营预算安排的支出。</w:t>
      </w:r>
    </w:p>
    <w:p w14:paraId="22B48D3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72F17F62">
      <w:pPr>
        <w:spacing w:before="100" w:beforeLines="0" w:after="100" w:afterLines="0"/>
        <w:jc w:val="left"/>
        <w:rPr>
          <w:rFonts w:hint="eastAsia" w:ascii="宋体" w:hAnsi="宋体"/>
          <w:color w:val="auto"/>
          <w:sz w:val="24"/>
          <w:szCs w:val="24"/>
          <w:highlight w:val="none"/>
          <w:lang w:val="zh-CN"/>
        </w:rPr>
      </w:pPr>
      <w:r>
        <w:rPr>
          <w:rFonts w:hint="eastAsia" w:ascii="宋体" w:hAnsi="宋体"/>
          <w:color w:val="auto"/>
          <w:sz w:val="24"/>
          <w:szCs w:val="24"/>
          <w:highlight w:val="none"/>
          <w:lang w:val="zh-CN"/>
        </w:rPr>
        <w:t>本部门2023年度没有</w:t>
      </w:r>
      <w:r>
        <w:rPr>
          <w:rFonts w:hint="default" w:ascii="宋体" w:hAnsi="宋体"/>
          <w:b w:val="0"/>
          <w:bCs w:val="0"/>
          <w:color w:val="auto"/>
          <w:sz w:val="24"/>
          <w:szCs w:val="24"/>
          <w:highlight w:val="none"/>
          <w:lang w:val="zh-CN" w:eastAsia="zh-CN"/>
        </w:rPr>
        <w:t>“</w:t>
      </w:r>
      <w:r>
        <w:rPr>
          <w:rFonts w:hint="eastAsia" w:ascii="宋体" w:hAnsi="宋体"/>
          <w:b w:val="0"/>
          <w:bCs w:val="0"/>
          <w:color w:val="auto"/>
          <w:sz w:val="24"/>
          <w:szCs w:val="24"/>
          <w:highlight w:val="none"/>
          <w:lang w:val="zh-CN" w:eastAsia="zh-CN"/>
        </w:rPr>
        <w:t>三公</w:t>
      </w:r>
      <w:r>
        <w:rPr>
          <w:rFonts w:hint="default" w:ascii="宋体" w:hAnsi="宋体"/>
          <w:b w:val="0"/>
          <w:bCs w:val="0"/>
          <w:color w:val="auto"/>
          <w:sz w:val="24"/>
          <w:szCs w:val="24"/>
          <w:highlight w:val="none"/>
          <w:lang w:val="zh-CN" w:eastAsia="zh-CN"/>
        </w:rPr>
        <w:t>”</w:t>
      </w:r>
      <w:r>
        <w:rPr>
          <w:rFonts w:hint="eastAsia" w:ascii="宋体" w:hAnsi="宋体"/>
          <w:b w:val="0"/>
          <w:bCs w:val="0"/>
          <w:color w:val="auto"/>
          <w:sz w:val="24"/>
          <w:szCs w:val="24"/>
          <w:highlight w:val="none"/>
          <w:lang w:val="zh-CN" w:eastAsia="zh-CN"/>
        </w:rPr>
        <w:t>经费</w:t>
      </w:r>
      <w:r>
        <w:rPr>
          <w:rFonts w:hint="eastAsia" w:ascii="宋体" w:hAnsi="宋体"/>
          <w:color w:val="auto"/>
          <w:sz w:val="24"/>
          <w:szCs w:val="24"/>
          <w:highlight w:val="none"/>
          <w:lang w:val="zh-CN"/>
        </w:rPr>
        <w:t>预算安排的支出。</w:t>
      </w:r>
    </w:p>
    <w:p w14:paraId="211FF186">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2DD1D487">
      <w:pPr>
        <w:spacing w:before="100" w:beforeLines="0" w:after="100" w:afterLines="0"/>
        <w:jc w:val="left"/>
        <w:rPr>
          <w:rFonts w:hint="eastAsia" w:ascii="宋体" w:hAnsi="宋体" w:eastAsia="宋体"/>
          <w:color w:val="auto"/>
          <w:sz w:val="24"/>
          <w:szCs w:val="24"/>
          <w:lang w:val="zh-CN" w:eastAsia="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auto"/>
          <w:sz w:val="24"/>
          <w:szCs w:val="24"/>
          <w:highlight w:val="none"/>
          <w:lang w:val="zh-CN"/>
        </w:rPr>
        <w:t>主要原因是本年无预算，</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减少0.75</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下降100.0</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公务用车不再使用。</w:t>
      </w:r>
    </w:p>
    <w:p w14:paraId="294D9E56">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554D1E78">
      <w:pPr>
        <w:spacing w:before="100" w:beforeLines="0" w:after="100" w:afterLines="0"/>
        <w:jc w:val="left"/>
        <w:rPr>
          <w:rFonts w:hint="eastAsia" w:ascii="宋体" w:hAnsi="宋体"/>
          <w:color w:val="auto"/>
          <w:sz w:val="24"/>
          <w:szCs w:val="24"/>
          <w:highlight w:val="none"/>
          <w:lang w:val="zh-CN"/>
        </w:rPr>
      </w:pPr>
      <w:r>
        <w:rPr>
          <w:rFonts w:hint="default" w:ascii="Times New Roman" w:hAnsi="Times New Roman" w:eastAsia="Times New Roman"/>
          <w:b/>
          <w:color w:val="auto"/>
          <w:sz w:val="24"/>
          <w:szCs w:val="24"/>
          <w:highlight w:val="none"/>
          <w:lang w:val="zh-CN"/>
        </w:rPr>
        <w:t>1.</w:t>
      </w:r>
      <w:r>
        <w:rPr>
          <w:rFonts w:hint="eastAsia" w:ascii="宋体" w:hAnsi="宋体"/>
          <w:b/>
          <w:color w:val="auto"/>
          <w:sz w:val="24"/>
          <w:szCs w:val="24"/>
          <w:highlight w:val="none"/>
          <w:lang w:val="zh-CN"/>
        </w:rPr>
        <w:t>因公出国(境)费用</w:t>
      </w:r>
      <w:r>
        <w:rPr>
          <w:rFonts w:hint="eastAsia" w:ascii="宋体" w:hAnsi="宋体"/>
          <w:color w:val="auto"/>
          <w:sz w:val="24"/>
          <w:szCs w:val="24"/>
          <w:highlight w:val="none"/>
          <w:lang w:val="en-US"/>
        </w:rPr>
        <w:t>全年</w:t>
      </w:r>
      <w:r>
        <w:rPr>
          <w:rFonts w:hint="eastAsia" w:ascii="宋体" w:hAnsi="宋体"/>
          <w:color w:val="auto"/>
          <w:sz w:val="24"/>
          <w:szCs w:val="24"/>
          <w:highlight w:val="none"/>
          <w:lang w:val="zh-CN"/>
        </w:rPr>
        <w:t>预算数为0.00万元,支出决算为0.00万元,决算数小于预算数的主要原因是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rPr>
        <w:t>较上年决算数</w:t>
      </w:r>
      <w:r>
        <w:rPr>
          <w:rFonts w:hint="eastAsia" w:ascii="宋体" w:hAnsi="宋体"/>
          <w:color w:val="auto"/>
          <w:sz w:val="24"/>
          <w:szCs w:val="24"/>
          <w:highlight w:val="none"/>
          <w:lang w:val="en-US" w:eastAsia="zh-CN"/>
        </w:rPr>
        <w:t>减少0.0</w:t>
      </w:r>
      <w:r>
        <w:rPr>
          <w:rFonts w:hint="eastAsia" w:ascii="宋体" w:hAnsi="宋体"/>
          <w:color w:val="auto"/>
          <w:sz w:val="24"/>
          <w:szCs w:val="24"/>
          <w:highlight w:val="none"/>
          <w:lang w:val="zh-CN"/>
        </w:rPr>
        <w:t>万元</w:t>
      </w:r>
      <w:r>
        <w:rPr>
          <w:rFonts w:hint="eastAsia" w:ascii="宋体" w:hAnsi="宋体"/>
          <w:color w:val="auto"/>
          <w:sz w:val="24"/>
          <w:szCs w:val="24"/>
          <w:highlight w:val="none"/>
          <w:lang w:val="en-US"/>
        </w:rPr>
        <w:t>,</w:t>
      </w:r>
      <w:r>
        <w:rPr>
          <w:rFonts w:hint="eastAsia" w:ascii="宋体" w:hAnsi="宋体"/>
          <w:color w:val="auto"/>
          <w:sz w:val="24"/>
          <w:szCs w:val="24"/>
          <w:highlight w:val="none"/>
          <w:lang w:val="en-US" w:eastAsia="zh-CN"/>
        </w:rPr>
        <w:t>下降</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rPr>
        <w:t>,主要原因是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p>
    <w:p w14:paraId="0530DB83">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减少0.75</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下降100.0</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公务用车不再使用。</w:t>
      </w:r>
    </w:p>
    <w:p w14:paraId="33BEC692">
      <w:pPr>
        <w:spacing w:before="100" w:beforeLines="0" w:after="100" w:afterLines="0"/>
        <w:jc w:val="left"/>
        <w:rPr>
          <w:rFonts w:hint="eastAsia" w:ascii="宋体" w:hAnsi="宋体"/>
          <w:color w:val="auto"/>
          <w:sz w:val="24"/>
          <w:szCs w:val="24"/>
          <w:highlight w:val="none"/>
          <w:lang w:val="zh-CN"/>
        </w:rPr>
      </w:pPr>
      <w:r>
        <w:rPr>
          <w:rFonts w:hint="eastAsia" w:ascii="宋体" w:hAnsi="宋体"/>
          <w:b/>
          <w:color w:val="auto"/>
          <w:sz w:val="24"/>
          <w:szCs w:val="24"/>
          <w:highlight w:val="none"/>
          <w:lang w:val="zh-CN"/>
        </w:rPr>
        <w:t>其中：公务用车购置费</w:t>
      </w:r>
      <w:r>
        <w:rPr>
          <w:rFonts w:hint="eastAsia" w:ascii="宋体" w:hAnsi="宋体"/>
          <w:color w:val="auto"/>
          <w:sz w:val="24"/>
          <w:szCs w:val="24"/>
          <w:highlight w:val="none"/>
          <w:lang w:val="en-US"/>
        </w:rPr>
        <w:t>全年</w:t>
      </w:r>
      <w:r>
        <w:rPr>
          <w:rFonts w:hint="eastAsia" w:ascii="宋体" w:hAnsi="宋体"/>
          <w:color w:val="auto"/>
          <w:sz w:val="24"/>
          <w:szCs w:val="24"/>
          <w:highlight w:val="none"/>
          <w:lang w:val="zh-CN"/>
        </w:rPr>
        <w:t>预算数为0.00万元,支出决算为0.00万元,决算数小于预算数的主要原因是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rPr>
        <w:t>较上年决算数</w:t>
      </w:r>
      <w:r>
        <w:rPr>
          <w:rFonts w:hint="eastAsia" w:ascii="宋体" w:hAnsi="宋体"/>
          <w:color w:val="auto"/>
          <w:sz w:val="24"/>
          <w:szCs w:val="24"/>
          <w:highlight w:val="none"/>
          <w:lang w:val="en-US" w:eastAsia="zh-CN"/>
        </w:rPr>
        <w:t>减少0.0</w:t>
      </w:r>
      <w:r>
        <w:rPr>
          <w:rFonts w:hint="eastAsia" w:ascii="宋体" w:hAnsi="宋体"/>
          <w:color w:val="auto"/>
          <w:sz w:val="24"/>
          <w:szCs w:val="24"/>
          <w:highlight w:val="none"/>
          <w:lang w:val="zh-CN"/>
        </w:rPr>
        <w:t>万元</w:t>
      </w:r>
      <w:r>
        <w:rPr>
          <w:rFonts w:hint="eastAsia" w:ascii="宋体" w:hAnsi="宋体"/>
          <w:color w:val="auto"/>
          <w:sz w:val="24"/>
          <w:szCs w:val="24"/>
          <w:highlight w:val="none"/>
          <w:lang w:val="en-US"/>
        </w:rPr>
        <w:t>,</w:t>
      </w:r>
      <w:r>
        <w:rPr>
          <w:rFonts w:hint="eastAsia" w:ascii="宋体" w:hAnsi="宋体"/>
          <w:color w:val="auto"/>
          <w:sz w:val="24"/>
          <w:szCs w:val="24"/>
          <w:highlight w:val="none"/>
          <w:lang w:val="en-US" w:eastAsia="zh-CN"/>
        </w:rPr>
        <w:t>下降</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rPr>
        <w:t>,主要原因是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p>
    <w:p w14:paraId="0ACCB734">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预算数为0.00万元,支出决算为0.00万元,决算数小于预算数的主要原因是本年无预算，</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减少0.75</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下降100.0</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公务用车不再使用。</w:t>
      </w:r>
    </w:p>
    <w:p w14:paraId="57CCF651">
      <w:pPr>
        <w:numPr>
          <w:ilvl w:val="0"/>
          <w:numId w:val="4"/>
        </w:numPr>
        <w:spacing w:before="100" w:beforeLines="0" w:after="100" w:afterLines="0"/>
        <w:jc w:val="left"/>
        <w:rPr>
          <w:rFonts w:hint="eastAsia" w:ascii="宋体" w:hAnsi="宋体"/>
          <w:color w:val="auto"/>
          <w:sz w:val="24"/>
          <w:szCs w:val="24"/>
          <w:highlight w:val="none"/>
          <w:lang w:val="zh-CN"/>
        </w:rPr>
      </w:pPr>
      <w:r>
        <w:rPr>
          <w:rFonts w:hint="eastAsia" w:ascii="宋体" w:hAnsi="宋体"/>
          <w:b/>
          <w:color w:val="auto"/>
          <w:sz w:val="24"/>
          <w:szCs w:val="24"/>
          <w:highlight w:val="none"/>
          <w:lang w:val="zh-CN"/>
        </w:rPr>
        <w:t>公务接待费</w:t>
      </w:r>
      <w:r>
        <w:rPr>
          <w:rFonts w:hint="eastAsia" w:ascii="宋体" w:hAnsi="宋体"/>
          <w:color w:val="auto"/>
          <w:sz w:val="24"/>
          <w:szCs w:val="24"/>
          <w:highlight w:val="none"/>
          <w:lang w:val="en-US"/>
        </w:rPr>
        <w:t>全</w:t>
      </w:r>
      <w:r>
        <w:rPr>
          <w:rFonts w:hint="eastAsia" w:ascii="宋体" w:hAnsi="宋体"/>
          <w:color w:val="auto"/>
          <w:sz w:val="24"/>
          <w:szCs w:val="24"/>
          <w:highlight w:val="none"/>
          <w:lang w:val="zh-CN"/>
        </w:rPr>
        <w:t>年预算数为0.00万元,支出决算为0.00万元,决算数小于预算数的主要原因是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rPr>
        <w:t>较上年决算数</w:t>
      </w:r>
      <w:r>
        <w:rPr>
          <w:rFonts w:hint="eastAsia" w:ascii="宋体" w:hAnsi="宋体"/>
          <w:color w:val="auto"/>
          <w:sz w:val="24"/>
          <w:szCs w:val="24"/>
          <w:highlight w:val="none"/>
          <w:lang w:val="en-US" w:eastAsia="zh-CN"/>
        </w:rPr>
        <w:t>减少0.0</w:t>
      </w:r>
      <w:r>
        <w:rPr>
          <w:rFonts w:hint="eastAsia" w:ascii="宋体" w:hAnsi="宋体"/>
          <w:color w:val="auto"/>
          <w:sz w:val="24"/>
          <w:szCs w:val="24"/>
          <w:highlight w:val="none"/>
          <w:lang w:val="zh-CN"/>
        </w:rPr>
        <w:t>万元</w:t>
      </w:r>
      <w:r>
        <w:rPr>
          <w:rFonts w:hint="eastAsia" w:ascii="宋体" w:hAnsi="宋体"/>
          <w:color w:val="auto"/>
          <w:sz w:val="24"/>
          <w:szCs w:val="24"/>
          <w:highlight w:val="none"/>
          <w:lang w:val="en-US"/>
        </w:rPr>
        <w:t>,</w:t>
      </w:r>
      <w:r>
        <w:rPr>
          <w:rFonts w:hint="eastAsia" w:ascii="宋体" w:hAnsi="宋体"/>
          <w:color w:val="auto"/>
          <w:sz w:val="24"/>
          <w:szCs w:val="24"/>
          <w:highlight w:val="none"/>
          <w:lang w:val="en-US" w:eastAsia="zh-CN"/>
        </w:rPr>
        <w:t>下降</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rPr>
        <w:t>,主要原因是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p>
    <w:p w14:paraId="2AE79EF9">
      <w:pPr>
        <w:numPr>
          <w:ilvl w:val="0"/>
          <w:numId w:val="0"/>
        </w:numPr>
        <w:spacing w:before="100" w:beforeLines="0" w:after="100" w:afterLines="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zh-CN"/>
        </w:rPr>
        <w:t>外事接待费支出0.00万元。主要是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p>
    <w:p w14:paraId="06193017">
      <w:pPr>
        <w:numPr>
          <w:ilvl w:val="0"/>
          <w:numId w:val="0"/>
        </w:numPr>
        <w:spacing w:before="100" w:beforeLines="0" w:after="100" w:afterLine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其他国内公务接待支出</w:t>
      </w:r>
      <w:r>
        <w:rPr>
          <w:rFonts w:hint="eastAsia" w:ascii="宋体" w:hAnsi="宋体"/>
          <w:color w:val="auto"/>
          <w:sz w:val="24"/>
          <w:szCs w:val="24"/>
          <w:highlight w:val="none"/>
          <w:lang w:val="zh-CN"/>
        </w:rPr>
        <w:t>0.00万元。主要是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p>
    <w:p w14:paraId="37BFBEE5">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7570AF55">
      <w:pPr>
        <w:spacing w:before="100" w:beforeLines="0" w:after="100" w:afterLines="0"/>
        <w:jc w:val="left"/>
        <w:rPr>
          <w:rFonts w:hint="eastAsia" w:ascii="宋体" w:hAnsi="宋体"/>
          <w:color w:val="auto"/>
          <w:sz w:val="24"/>
          <w:szCs w:val="24"/>
          <w:highlight w:val="none"/>
          <w:lang w:val="zh-CN"/>
        </w:rPr>
      </w:pPr>
      <w:r>
        <w:rPr>
          <w:rFonts w:hint="eastAsia" w:ascii="宋体" w:hAnsi="宋体"/>
          <w:color w:val="auto"/>
          <w:sz w:val="24"/>
          <w:szCs w:val="24"/>
          <w:highlight w:val="none"/>
          <w:lang w:val="zh-CN"/>
        </w:rPr>
        <w:t>2023年度本部门</w:t>
      </w:r>
      <w:r>
        <w:rPr>
          <w:rFonts w:hint="eastAsia" w:ascii="宋体" w:hAnsi="宋体"/>
          <w:b/>
          <w:color w:val="auto"/>
          <w:sz w:val="24"/>
          <w:szCs w:val="24"/>
          <w:highlight w:val="none"/>
          <w:lang w:val="zh-CN"/>
        </w:rPr>
        <w:t>因公出国(境)</w:t>
      </w:r>
      <w:r>
        <w:rPr>
          <w:rFonts w:hint="eastAsia" w:ascii="宋体" w:hAnsi="宋体"/>
          <w:color w:val="auto"/>
          <w:sz w:val="24"/>
          <w:szCs w:val="24"/>
          <w:highlight w:val="none"/>
          <w:lang w:val="zh-CN"/>
        </w:rPr>
        <w:t>共计个团组</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lang w:val="zh-CN"/>
        </w:rPr>
        <w:t>人；</w:t>
      </w:r>
      <w:r>
        <w:rPr>
          <w:rFonts w:hint="eastAsia" w:ascii="宋体" w:hAnsi="宋体"/>
          <w:b/>
          <w:color w:val="auto"/>
          <w:sz w:val="24"/>
          <w:szCs w:val="24"/>
          <w:highlight w:val="none"/>
          <w:lang w:val="zh-CN"/>
        </w:rPr>
        <w:t>公务用车购置</w:t>
      </w:r>
      <w:r>
        <w:rPr>
          <w:rFonts w:hint="eastAsia" w:ascii="宋体" w:hAnsi="宋体"/>
          <w:b/>
          <w:color w:val="auto"/>
          <w:sz w:val="24"/>
          <w:szCs w:val="24"/>
          <w:highlight w:val="none"/>
          <w:lang w:val="en-US" w:eastAsia="zh-CN"/>
        </w:rPr>
        <w:t>0</w:t>
      </w:r>
      <w:r>
        <w:rPr>
          <w:rFonts w:hint="eastAsia" w:ascii="宋体" w:hAnsi="宋体"/>
          <w:color w:val="auto"/>
          <w:sz w:val="24"/>
          <w:szCs w:val="24"/>
          <w:highlight w:val="none"/>
          <w:lang w:val="zh-CN"/>
        </w:rPr>
        <w:t>辆,</w:t>
      </w:r>
      <w:r>
        <w:rPr>
          <w:rFonts w:hint="eastAsia" w:ascii="宋体" w:hAnsi="宋体"/>
          <w:b/>
          <w:color w:val="auto"/>
          <w:sz w:val="24"/>
          <w:szCs w:val="24"/>
          <w:highlight w:val="none"/>
          <w:lang w:val="zh-CN"/>
        </w:rPr>
        <w:t>公务用车保有量</w:t>
      </w:r>
      <w:r>
        <w:rPr>
          <w:rFonts w:hint="eastAsia" w:ascii="宋体" w:hAnsi="宋体"/>
          <w:color w:val="auto"/>
          <w:sz w:val="24"/>
          <w:szCs w:val="24"/>
          <w:highlight w:val="none"/>
          <w:lang w:val="zh-CN"/>
        </w:rPr>
        <w:t>为</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val="zh-CN"/>
        </w:rPr>
        <w:t>辆；</w:t>
      </w:r>
      <w:r>
        <w:rPr>
          <w:rFonts w:hint="eastAsia" w:ascii="宋体" w:hAnsi="宋体"/>
          <w:b/>
          <w:color w:val="auto"/>
          <w:sz w:val="24"/>
          <w:szCs w:val="24"/>
          <w:highlight w:val="none"/>
          <w:lang w:val="zh-CN"/>
        </w:rPr>
        <w:t>国内公务接待</w:t>
      </w:r>
      <w:r>
        <w:rPr>
          <w:rFonts w:hint="eastAsia" w:ascii="宋体" w:hAnsi="宋体"/>
          <w:color w:val="auto"/>
          <w:sz w:val="24"/>
          <w:szCs w:val="24"/>
          <w:highlight w:val="none"/>
          <w:lang w:val="zh-CN"/>
        </w:rPr>
        <w:t>批次</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lang w:val="zh-CN"/>
        </w:rPr>
        <w:t>人,其中：</w:t>
      </w:r>
      <w:r>
        <w:rPr>
          <w:rFonts w:hint="eastAsia" w:ascii="宋体" w:hAnsi="宋体"/>
          <w:b/>
          <w:color w:val="auto"/>
          <w:sz w:val="24"/>
          <w:szCs w:val="24"/>
          <w:highlight w:val="none"/>
          <w:lang w:val="zh-CN"/>
        </w:rPr>
        <w:t>外事接待</w:t>
      </w:r>
      <w:r>
        <w:rPr>
          <w:rFonts w:hint="eastAsia" w:ascii="宋体" w:hAnsi="宋体"/>
          <w:color w:val="auto"/>
          <w:sz w:val="24"/>
          <w:szCs w:val="24"/>
          <w:highlight w:val="none"/>
          <w:lang w:val="zh-CN"/>
        </w:rPr>
        <w:t>批次</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lang w:val="zh-CN"/>
        </w:rPr>
        <w:t>人；</w:t>
      </w:r>
      <w:r>
        <w:rPr>
          <w:rFonts w:hint="eastAsia" w:ascii="宋体" w:hAnsi="宋体"/>
          <w:b/>
          <w:color w:val="auto"/>
          <w:sz w:val="24"/>
          <w:szCs w:val="24"/>
          <w:highlight w:val="none"/>
          <w:lang w:val="zh-CN"/>
        </w:rPr>
        <w:t>国(境)外公务接待</w:t>
      </w:r>
      <w:r>
        <w:rPr>
          <w:rFonts w:hint="eastAsia" w:ascii="宋体" w:hAnsi="宋体"/>
          <w:color w:val="auto"/>
          <w:sz w:val="24"/>
          <w:szCs w:val="24"/>
          <w:highlight w:val="none"/>
          <w:lang w:val="zh-CN"/>
        </w:rPr>
        <w:t>批次</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lang w:val="zh-CN"/>
        </w:rPr>
        <w:t>人。</w:t>
      </w:r>
    </w:p>
    <w:p w14:paraId="6A0D561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668E4178">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本部门机关运行经费支出81.41万元,机关运行经费机关运行经费主要用于开支办公费、电费、取暖费、差旅费、劳务费。机关运行经费较上年决算数减少103.84万元,下降56.05%,主要原因是办公设施设备购置经费减少、人员编制数量减少、落实过紧日子要求压减支出等。</w:t>
      </w:r>
    </w:p>
    <w:p w14:paraId="236BBC0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273915A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我单位2023年度无政府采购相关经费。</w:t>
      </w:r>
    </w:p>
    <w:p w14:paraId="711BB53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3D9B27A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12辆,其中,副部(省)级及以上领导用车0辆、主要领导干部用车0辆、机要通信用车0辆、应急保障用车0辆、执法执勤用车0辆,特种专业技术用车1辆,离退休干部用车0辆,其他用车11辆,其他用车主要是用于转运垃圾。单价100万元(含)以上设备0台(套)。</w:t>
      </w:r>
    </w:p>
    <w:p w14:paraId="36A127C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079D068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48618627">
      <w:pPr>
        <w:spacing w:before="100" w:beforeLines="0" w:after="100" w:afterLines="0"/>
        <w:jc w:val="left"/>
        <w:rPr>
          <w:rFonts w:hint="eastAsia" w:ascii="宋体" w:hAnsi="宋体"/>
          <w:color w:val="FF0000"/>
          <w:sz w:val="24"/>
          <w:szCs w:val="24"/>
          <w:lang w:val="zh-CN"/>
        </w:rPr>
      </w:pPr>
    </w:p>
    <w:p w14:paraId="09E0BA3B">
      <w:pPr>
        <w:spacing w:before="100" w:beforeLines="0" w:after="100" w:afterLines="0"/>
        <w:jc w:val="left"/>
        <w:rPr>
          <w:rFonts w:hint="eastAsia" w:ascii="宋体" w:hAnsi="宋体"/>
          <w:color w:val="auto"/>
          <w:sz w:val="24"/>
          <w:szCs w:val="24"/>
          <w:lang w:val="zh-CN"/>
        </w:rPr>
      </w:pPr>
    </w:p>
    <w:p w14:paraId="59E4B126">
      <w:pPr>
        <w:spacing w:before="100" w:beforeLines="0" w:after="100" w:afterLines="0"/>
        <w:jc w:val="left"/>
        <w:rPr>
          <w:rFonts w:hint="eastAsia" w:ascii="宋体" w:hAnsi="宋体"/>
          <w:b/>
          <w:bCs/>
          <w:color w:val="auto"/>
          <w:sz w:val="24"/>
          <w:szCs w:val="24"/>
          <w:lang w:val="zh-CN" w:eastAsia="zh-CN"/>
        </w:rPr>
      </w:pPr>
      <w:bookmarkStart w:id="0" w:name="_GoBack"/>
      <w:bookmarkEnd w:id="0"/>
      <w:r>
        <w:rPr>
          <w:rFonts w:hint="eastAsia" w:ascii="宋体" w:hAnsi="宋体"/>
          <w:b/>
          <w:bCs/>
          <w:color w:val="auto"/>
          <w:sz w:val="24"/>
          <w:szCs w:val="24"/>
          <w:lang w:val="zh-CN" w:eastAsia="zh-CN"/>
        </w:rPr>
        <w:t>一、预算绩效管理工作开展情况</w:t>
      </w:r>
    </w:p>
    <w:p w14:paraId="382B06E0">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宋体" w:hAnsi="宋体"/>
          <w:color w:val="000000" w:themeColor="text1"/>
          <w:sz w:val="24"/>
          <w:szCs w:val="24"/>
          <w:lang w:val="zh-CN"/>
          <w14:textFill>
            <w14:solidFill>
              <w14:schemeClr w14:val="tx1"/>
            </w14:solidFill>
          </w14:textFill>
        </w:rPr>
        <w:t>本单位未开展预算绩效管理。</w:t>
      </w:r>
    </w:p>
    <w:p w14:paraId="57B0EDD2">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07CF09C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17433A9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00EE683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51B60F7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465B71B9">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32C0BAE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6D2BE2C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2E9E6A6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242C13A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1C5275F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56E5227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1A7EC0C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E4C2CB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881723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7BAD93F8">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4504EE19"/>
    <w:multiLevelType w:val="singleLevel"/>
    <w:tmpl w:val="4504EE19"/>
    <w:lvl w:ilvl="0" w:tentative="0">
      <w:start w:val="1"/>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NjcwZjViNTM5NDhiNGQ2OTA0MjFjZGJiYWNkMWMifQ=="/>
  </w:docVars>
  <w:rsids>
    <w:rsidRoot w:val="00000000"/>
    <w:rsid w:val="0ECC1867"/>
    <w:rsid w:val="7A4C6A4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Props1.xml><?xml version="1.0" encoding="utf-8"?>
<ds:datastoreItem xmlns:ds="http://schemas.openxmlformats.org/officeDocument/2006/customXml" ds:itemID="{fe7a37d3-b9d7-4d62-9e21-1f653efa946d}">
  <ds:schemaRefs/>
</ds:datastoreItem>
</file>

<file path=customXml/itemProps2.xml><?xml version="1.0" encoding="utf-8"?>
<ds:datastoreItem xmlns:ds="http://schemas.openxmlformats.org/officeDocument/2006/customXml" ds:itemID="{2019d243-e2a7-44e9-972f-33236ca9f4a8}">
  <ds:schemaRefs/>
</ds:datastoreItem>
</file>

<file path=customXml/itemProps3.xml><?xml version="1.0" encoding="utf-8"?>
<ds:datastoreItem xmlns:ds="http://schemas.openxmlformats.org/officeDocument/2006/customXml" ds:itemID="{ec8aecfa-be1b-4c69-846a-5857ebadbcdd}">
  <ds:schemaRefs/>
</ds:datastoreItem>
</file>

<file path=customXml/itemProps4.xml><?xml version="1.0" encoding="utf-8"?>
<ds:datastoreItem xmlns:ds="http://schemas.openxmlformats.org/officeDocument/2006/customXml" ds:itemID="{c32e8b30-676b-4e0d-9b30-25ec880767c3}">
  <ds:schemaRefs/>
</ds:datastoreItem>
</file>

<file path=customXml/itemProps5.xml><?xml version="1.0" encoding="utf-8"?>
<ds:datastoreItem xmlns:ds="http://schemas.openxmlformats.org/officeDocument/2006/customXml" ds:itemID="{0ce8e6d7-4d5f-4b13-8058-181daeda1b1c}">
  <ds:schemaRefs/>
</ds:datastoreItem>
</file>

<file path=customXml/itemProps6.xml><?xml version="1.0" encoding="utf-8"?>
<ds:datastoreItem xmlns:ds="http://schemas.openxmlformats.org/officeDocument/2006/customXml" ds:itemID="{0d11067a-e81b-4c91-9dea-75d51c440262}">
  <ds:schemaRefs/>
</ds:datastoreItem>
</file>

<file path=customXml/itemProps7.xml><?xml version="1.0" encoding="utf-8"?>
<ds:datastoreItem xmlns:ds="http://schemas.openxmlformats.org/officeDocument/2006/customXml" ds:itemID="{0180a28f-3bbb-469c-84d8-9c8775675b8a}">
  <ds:schemaRefs/>
</ds:datastoreItem>
</file>

<file path=customXml/itemProps8.xml><?xml version="1.0" encoding="utf-8"?>
<ds:datastoreItem xmlns:ds="http://schemas.openxmlformats.org/officeDocument/2006/customXml" ds:itemID="{c098ad58-f7db-4769-8700-36835c5c0952}">
  <ds:schemaRefs/>
</ds:datastoreItem>
</file>

<file path=customXml/itemProps9.xml><?xml version="1.0" encoding="utf-8"?>
<ds:datastoreItem xmlns:ds="http://schemas.openxmlformats.org/officeDocument/2006/customXml" ds:itemID="{f46c9fce-7a0e-477d-a282-90916552be10}">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7289</Words>
  <Characters>8502</Characters>
  <Lines>0</Lines>
  <Paragraphs>0</Paragraphs>
  <TotalTime>0</TotalTime>
  <ScaleCrop>false</ScaleCrop>
  <LinksUpToDate>false</LinksUpToDate>
  <CharactersWithSpaces>8506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because...</cp:lastModifiedBy>
  <dcterms:modified xsi:type="dcterms:W3CDTF">2024-09-06T10:21:43Z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E06D266F13EA4024808CEEADBAD91186_11</vt:lpwstr>
  </property>
</Properties>
</file>