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甘肃省东乡族自治县东塬学校部门决算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仿宋_GB2312" w:hAnsi="宋体" w:eastAsia="仿宋_GB2312" w:cs="宋体"/>
          <w:kern w:val="0"/>
          <w:sz w:val="32"/>
          <w:szCs w:val="32"/>
          <w:highlight w:val="none"/>
        </w:rPr>
        <w:t>（</w:t>
      </w:r>
      <w:r>
        <w:rPr>
          <w:rFonts w:hint="eastAsia" w:ascii="宋体" w:hAnsi="宋体"/>
          <w:sz w:val="24"/>
          <w:szCs w:val="24"/>
          <w:lang w:val="zh-CN"/>
        </w:rPr>
        <w:t>一）制定符合党的教育方针和国家教育法律法规的中学教育发展规划并抓好组织实施和落实工作。</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（二）贯彻、执行教育法律法规和政策规定，坚持依法治教、依法治学。巩固提高"两基"工作成果和整体水平，配合教育局依法动员、组织适龄少年儿童入学，严格控制辍学，推进普及九年义务教育。</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（三）指导、管理、检查、评价学校的教育教学工作，提高办学质量和办学效益。</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（四）负责教育教学管理及教研教改工作，全力推进素质教育实施。</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（五）协助上级教育主管部门做好学校教师考核工作，负责教师管理、继续教育、考核考评等工作。</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（六）负责财务管理，筹措资金，改善办学条件等工作。</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lang w:val="en-US" w:eastAsia="zh-CN"/>
        </w:rPr>
        <w:t xml:space="preserve"> </w:t>
      </w:r>
      <w:r>
        <w:rPr>
          <w:rFonts w:hint="eastAsia" w:ascii="宋体" w:hAnsi="宋体"/>
          <w:sz w:val="24"/>
          <w:szCs w:val="24"/>
          <w:lang w:val="zh-CN"/>
        </w:rPr>
        <w:t>七）完成教育主管部门和上级政府委托的各项工作任务。二、机构设置</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根据上述职责，东乡族自治县</w:t>
      </w:r>
      <w:r>
        <w:rPr>
          <w:rFonts w:hint="eastAsia" w:ascii="宋体" w:hAnsi="宋体"/>
          <w:sz w:val="24"/>
          <w:szCs w:val="24"/>
          <w:lang w:val="en-US" w:eastAsia="zh-CN"/>
        </w:rPr>
        <w:t>东塬学校</w:t>
      </w:r>
      <w:r>
        <w:rPr>
          <w:rFonts w:hint="eastAsia" w:ascii="宋体" w:hAnsi="宋体"/>
          <w:sz w:val="24"/>
          <w:szCs w:val="24"/>
          <w:lang w:val="zh-CN"/>
        </w:rPr>
        <w:t>内设7个职能处（委、室）：</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（一）办公室</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主要职责：负责文件、材料的拟定、收发、呈阅、催办和保管及学校印章的使用和保管；负责会议的通知、记录及教职工考勤工作；协调联络各校长、各处室、各年级组、教研组工作，负责教职工量化考核和年度考核工作。</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（二）教务处</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主要职责：制定学校教学工作计划、检查及总结，安排课程、制定校历，组织召开学生、家长座谈会；加强教学常规管理，会同教研室组织教学工作检查和教学质量评估并提出指导性意见和建议；负责招生工作；做好学籍管理工作，依据有关规定做好各种档案的搜集整理归档工作；督促制定完善年级组计划，并按期检查落实。</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（三）教研室</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主要职责：负责学校教研工作计划的研讨、制定和修订工作；定期组织任课教师分析教学情况，研究改进措施，以不断提高教学水平和教学质量；加强对教师的业务指导，经常深入课堂，掌握教学进程和教师授课情况，听取学生对教学的反映和意见；统筹安排各教研组教研活动计划，组织教师进行互听、互评课活动。积极开展校际交流、教学教研活动；负责编班工作，组织好各类考试。</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政教处</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主要职责：协助学校党支部具体工作的落实，组织教职工政治学习，制定相应的学习制度，做好相关记录；帮助班主任搞好学生思想教育和管理工作；负责学生的纪律管理，对学生违纪事件的处理，并做好因违纪给予处分学生的登记建档工作；负责贫困生救助方面的各项工作；负责优秀学生干部、三好学生及先进班集体的评定工作。</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（五）纪检室</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主要职责：负责学校党务、校务、财务公开和相关决策制度执行情况的监督；对师生、家长反映的热点问题进行协调和反馈。</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（六）团委</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主要职责：传达学习党组织和上级团组织的决议，负责学校团委日常工作；制定团委工作计划，健全基层组织，完善有关规章制度；了解和掌握团员的思想动态和学习情况、针对性的做好思想政治工作；组织开展各种竞赛和文体活动及其他社会实践活动；组织开播校园广播，负责组织升国旗仪式。</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（七）总务处</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主要职责：负责学校后勤工作；负责各类校产的登记、使用及管理工作；负责办公及教学用品的购置、发放和管理工作；抓好后勤人员的管理工作，以不断提高后勤服务工作水平；管理和维护好水、电、暖等的供给维修工作，保障各项工作高效运转。</w:t>
      </w:r>
    </w:p>
    <w:p>
      <w:pPr>
        <w:spacing w:before="100" w:beforeLines="0" w:after="100" w:afterLines="0"/>
        <w:jc w:val="left"/>
        <w:rPr>
          <w:rFonts w:hint="eastAsia" w:ascii="宋体" w:hAnsi="宋体"/>
          <w:sz w:val="24"/>
          <w:szCs w:val="24"/>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3181.26万元。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增加167.42万元,增长5.56%,增加的主要原因是：</w:t>
      </w:r>
      <w:r>
        <w:rPr>
          <w:rFonts w:hint="eastAsia" w:ascii="宋体" w:hAnsi="宋体"/>
          <w:color w:val="auto"/>
          <w:sz w:val="24"/>
          <w:szCs w:val="24"/>
          <w:lang w:val="zh-CN" w:eastAsia="zh-CN"/>
        </w:rPr>
        <w:t>（</w:t>
      </w:r>
      <w:r>
        <w:rPr>
          <w:rFonts w:hint="eastAsia" w:ascii="宋体" w:hAnsi="宋体"/>
          <w:color w:val="auto"/>
          <w:sz w:val="24"/>
          <w:szCs w:val="24"/>
          <w:lang w:val="en-US" w:eastAsia="zh-CN"/>
        </w:rPr>
        <w:t>经费结余跨年度支付主要为养老跨年缴费）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2023年度收入合计3055.04万元,其中：财政拨款收入3055.04万元,占100.00%；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2023年度支出合计3055.04万元,其中：基本支出2511.25万元,占82.20%；项目支出543.79万元,占17.80%。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3181.26万元。与</w:t>
      </w:r>
      <w:r>
        <w:rPr>
          <w:rFonts w:hint="eastAsia" w:ascii="宋体" w:hAnsi="宋体"/>
          <w:color w:val="auto"/>
          <w:sz w:val="24"/>
          <w:szCs w:val="24"/>
          <w:lang w:val="en-US"/>
        </w:rPr>
        <w:t>上</w:t>
      </w:r>
      <w:r>
        <w:rPr>
          <w:rFonts w:hint="eastAsia" w:ascii="宋体" w:hAnsi="宋体"/>
          <w:color w:val="auto"/>
          <w:sz w:val="24"/>
          <w:szCs w:val="24"/>
          <w:lang w:val="zh-CN"/>
        </w:rPr>
        <w:t>年相比,各增加167.42万元,增长5.56%。</w:t>
      </w:r>
      <w:r>
        <w:rPr>
          <w:rFonts w:hint="eastAsia" w:ascii="宋体" w:hAnsi="宋体"/>
          <w:color w:val="auto"/>
          <w:sz w:val="24"/>
          <w:szCs w:val="24"/>
          <w:lang w:val="zh-CN" w:eastAsia="zh-CN"/>
        </w:rPr>
        <w:t>（</w:t>
      </w:r>
      <w:r>
        <w:rPr>
          <w:rFonts w:hint="eastAsia" w:ascii="宋体" w:hAnsi="宋体"/>
          <w:color w:val="auto"/>
          <w:sz w:val="24"/>
          <w:szCs w:val="24"/>
          <w:lang w:val="en-US" w:eastAsia="zh-CN"/>
        </w:rPr>
        <w:t>经费结余跨年度支付主要为养老跨年缴费）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2023年度一般公共预算财政拨款支出3054.04万元,较上年决算数增加169.22万元,增长5.87%。</w:t>
      </w:r>
      <w:r>
        <w:rPr>
          <w:rFonts w:hint="eastAsia" w:ascii="宋体" w:hAnsi="宋体"/>
          <w:color w:val="auto"/>
          <w:sz w:val="24"/>
          <w:szCs w:val="24"/>
          <w:lang w:val="zh-CN" w:eastAsia="zh-CN"/>
        </w:rPr>
        <w:t>（</w:t>
      </w:r>
      <w:r>
        <w:rPr>
          <w:rFonts w:hint="eastAsia" w:ascii="宋体" w:hAnsi="宋体"/>
          <w:color w:val="auto"/>
          <w:sz w:val="24"/>
          <w:szCs w:val="24"/>
          <w:lang w:val="en-US" w:eastAsia="zh-CN"/>
        </w:rPr>
        <w:t>经费结余跨年度支付主要为养老跨年缴费）</w:t>
      </w:r>
    </w:p>
    <w:p>
      <w:pPr>
        <w:spacing w:before="100" w:beforeLines="0" w:after="100" w:afterLines="0"/>
        <w:jc w:val="left"/>
        <w:rPr>
          <w:rFonts w:hint="eastAsia" w:ascii="宋体" w:hAnsi="宋体"/>
          <w:color w:val="FF0000"/>
          <w:sz w:val="24"/>
          <w:szCs w:val="24"/>
          <w:lang w:val="zh-CN"/>
        </w:rPr>
      </w:pPr>
    </w:p>
    <w:p>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3054.04万元，教育支出2496.03万元,占81.73%；社会保障和就业支出271.93万元,占8.9%；卫生健康支出107.71万元,占3.53%；住房保障支出178.38万元,占5.84%；</w:t>
      </w:r>
    </w:p>
    <w:p>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2606.00万元,支出决算为3054.04</w:t>
      </w:r>
    </w:p>
    <w:p>
      <w:pPr>
        <w:numPr>
          <w:ilvl w:val="0"/>
          <w:numId w:val="2"/>
        </w:numPr>
        <w:spacing w:before="100" w:beforeLines="0" w:after="100" w:afterLines="0"/>
        <w:jc w:val="left"/>
        <w:rPr>
          <w:rFonts w:hint="eastAsia" w:ascii="宋体" w:hAnsi="宋体"/>
          <w:color w:val="auto"/>
          <w:sz w:val="24"/>
          <w:szCs w:val="24"/>
          <w:lang w:val="en-US" w:eastAsia="zh-CN"/>
        </w:rPr>
      </w:pPr>
      <w:r>
        <w:rPr>
          <w:rFonts w:hint="eastAsia" w:ascii="宋体" w:hAnsi="宋体"/>
          <w:b/>
          <w:color w:val="auto"/>
          <w:sz w:val="24"/>
          <w:szCs w:val="24"/>
          <w:lang w:val="zh-CN"/>
        </w:rPr>
        <w:t>教育支出</w:t>
      </w:r>
      <w:r>
        <w:rPr>
          <w:rFonts w:hint="eastAsia" w:ascii="宋体" w:hAnsi="宋体"/>
          <w:color w:val="auto"/>
          <w:sz w:val="24"/>
          <w:szCs w:val="24"/>
          <w:lang w:val="zh-CN"/>
        </w:rPr>
        <w:t>年初预算数为2020.86万元,支出决算为2496.03万元,完成年初预算的123.51%,决算数大于预算数的主要原因是</w:t>
      </w:r>
      <w:r>
        <w:rPr>
          <w:rFonts w:hint="eastAsia" w:ascii="宋体" w:hAnsi="宋体"/>
          <w:color w:val="auto"/>
          <w:sz w:val="24"/>
          <w:szCs w:val="24"/>
          <w:lang w:val="zh-CN" w:eastAsia="zh-CN"/>
        </w:rPr>
        <w:t>（职工薪酬提升和</w:t>
      </w:r>
      <w:r>
        <w:rPr>
          <w:rFonts w:hint="eastAsia" w:ascii="宋体" w:hAnsi="宋体"/>
          <w:color w:val="auto"/>
          <w:sz w:val="24"/>
          <w:szCs w:val="24"/>
          <w:lang w:val="en-US" w:eastAsia="zh-CN"/>
        </w:rPr>
        <w:t>经费结余跨年度支付主要为养老跨年缴费）</w:t>
      </w:r>
    </w:p>
    <w:tbl>
      <w:tblPr>
        <w:tblW w:w="8626" w:type="dxa"/>
        <w:tblInd w:w="0" w:type="dxa"/>
        <w:shd w:val="clear"/>
        <w:tblLayout w:type="fixed"/>
        <w:tblCellMar>
          <w:top w:w="0" w:type="dxa"/>
          <w:left w:w="0" w:type="dxa"/>
          <w:bottom w:w="0" w:type="dxa"/>
          <w:right w:w="0" w:type="dxa"/>
        </w:tblCellMar>
      </w:tblPr>
      <w:tblGrid>
        <w:gridCol w:w="1860"/>
        <w:gridCol w:w="516"/>
        <w:gridCol w:w="850"/>
        <w:gridCol w:w="1734"/>
        <w:gridCol w:w="516"/>
        <w:gridCol w:w="917"/>
        <w:gridCol w:w="100"/>
        <w:gridCol w:w="967"/>
        <w:gridCol w:w="650"/>
        <w:gridCol w:w="516"/>
      </w:tblGrid>
      <w:tr>
        <w:tblPrEx>
          <w:tblLayout w:type="fixed"/>
          <w:tblCellMar>
            <w:top w:w="0" w:type="dxa"/>
            <w:left w:w="0" w:type="dxa"/>
            <w:bottom w:w="0" w:type="dxa"/>
            <w:right w:w="0" w:type="dxa"/>
          </w:tblCellMar>
        </w:tblPrEx>
        <w:trPr>
          <w:trHeight w:val="300" w:hRule="atLeast"/>
        </w:trPr>
        <w:tc>
          <w:tcPr>
            <w:tcW w:w="3226"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收     入</w:t>
            </w:r>
          </w:p>
        </w:tc>
        <w:tc>
          <w:tcPr>
            <w:tcW w:w="5400" w:type="dxa"/>
            <w:gridSpan w:val="7"/>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     出</w:t>
            </w:r>
          </w:p>
        </w:tc>
      </w:tr>
      <w:tr>
        <w:tblPrEx>
          <w:shd w:val="clear"/>
          <w:tblLayout w:type="fixed"/>
          <w:tblCellMar>
            <w:top w:w="0" w:type="dxa"/>
            <w:left w:w="0" w:type="dxa"/>
            <w:bottom w:w="0" w:type="dxa"/>
            <w:right w:w="0" w:type="dxa"/>
          </w:tblCellMar>
        </w:tblPrEx>
        <w:trPr>
          <w:trHeight w:val="312" w:hRule="atLeast"/>
        </w:trPr>
        <w:tc>
          <w:tcPr>
            <w:tcW w:w="186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项目</w:t>
            </w:r>
          </w:p>
        </w:tc>
        <w:tc>
          <w:tcPr>
            <w:tcW w:w="51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行次</w:t>
            </w:r>
          </w:p>
        </w:tc>
        <w:tc>
          <w:tcPr>
            <w:tcW w:w="85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金额</w:t>
            </w:r>
          </w:p>
        </w:tc>
        <w:tc>
          <w:tcPr>
            <w:tcW w:w="1734"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项目</w:t>
            </w:r>
          </w:p>
        </w:tc>
        <w:tc>
          <w:tcPr>
            <w:tcW w:w="51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行次</w:t>
            </w:r>
          </w:p>
        </w:tc>
        <w:tc>
          <w:tcPr>
            <w:tcW w:w="1017" w:type="dxa"/>
            <w:gridSpan w:val="2"/>
            <w:vMerge w:val="restart"/>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合计</w:t>
            </w:r>
          </w:p>
        </w:tc>
        <w:tc>
          <w:tcPr>
            <w:tcW w:w="967"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一般公共预算财政拨款</w:t>
            </w:r>
          </w:p>
        </w:tc>
        <w:tc>
          <w:tcPr>
            <w:tcW w:w="65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政府性基金预算财政拨款</w:t>
            </w:r>
          </w:p>
        </w:tc>
        <w:tc>
          <w:tcPr>
            <w:tcW w:w="51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国有资本经营预算财政拨款</w:t>
            </w:r>
          </w:p>
        </w:tc>
      </w:tr>
      <w:tr>
        <w:tblPrEx>
          <w:shd w:val="clear"/>
          <w:tblLayout w:type="fixed"/>
          <w:tblCellMar>
            <w:top w:w="0" w:type="dxa"/>
            <w:left w:w="0" w:type="dxa"/>
            <w:bottom w:w="0" w:type="dxa"/>
            <w:right w:w="0" w:type="dxa"/>
          </w:tblCellMar>
        </w:tblPrEx>
        <w:trPr>
          <w:trHeight w:val="600" w:hRule="atLeast"/>
        </w:trPr>
        <w:tc>
          <w:tcPr>
            <w:tcW w:w="186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51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8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1734"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51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1017" w:type="dxa"/>
            <w:gridSpan w:val="2"/>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967"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6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51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栏次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8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1</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栏次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91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2</w:t>
            </w:r>
          </w:p>
        </w:tc>
        <w:tc>
          <w:tcPr>
            <w:tcW w:w="1067"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3</w:t>
            </w: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4</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5</w:t>
            </w:r>
          </w:p>
        </w:tc>
      </w:tr>
      <w:tr>
        <w:tblPrEx>
          <w:shd w:val="clear"/>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一、一般公共预算财政拨款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30,540,372.01</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一、一般公共服务支出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33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二、政府性基金预算财政拨款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10,000.00</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二、外交支出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34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三、国有资本经营预算财政拨款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3</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三、国防支出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35</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4</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四、公共安全支出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36</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5</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五、教育支出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37</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24,960,273.85</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24,960,273.85</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6</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六、科学技术支出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38</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7</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七、文化旅游体育与传媒支出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39</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8</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八、社会保障和就业支出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40</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2,719,269.46</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2,719,269.46</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9</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九、卫生健康支出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41</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1,077,054.70</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1,077,054.70</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10</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十、节能环保支出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42</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11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十一、城乡社区支出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43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12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十二、农林水支出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44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13</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十三、交通运输支出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45</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14</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十四、资源勘探工业信息等支出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46</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15</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十五、商业服务业等支出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47</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16</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十六、金融支出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48</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17</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十七、援助其他地区支出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49</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18</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十八、自然资源海洋气象等支出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50</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19</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十九、住房保障支出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51</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1,783,774.00</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1,783,774.00</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20</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二十、粮油物资储备支出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52</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21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二十一、国有资本经营预算支出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53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22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二十二、灾害防治及应急管理支出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54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23</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二十三、其他支出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55</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10,000.00</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10,000.00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b/>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24</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二十四、债务还本支出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56</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25</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二十五、债务付息支出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57</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26</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二十六、抗疫特别国债安排的支出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58</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bdr w:val="none" w:color="auto" w:sz="0" w:space="0"/>
                <w:lang w:val="en-US" w:eastAsia="zh-CN" w:bidi="ar"/>
              </w:rPr>
              <w:t>本年收入合计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27</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30,550,372.01</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bdr w:val="none" w:color="auto" w:sz="0" w:space="0"/>
                <w:lang w:val="en-US" w:eastAsia="zh-CN" w:bidi="ar"/>
              </w:rPr>
              <w:t>本年支出合计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59</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30,550,372.01</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30,540,372.01</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10,000.00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年初财政拨款结转和结余</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28</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1,262,188.83</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年末财政拨款结转和结余</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60</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1,262,188.83</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1,262,188.83</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 xml:space="preserve">  一般公共预算财政拨款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29</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1,262,188.83</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61</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 xml:space="preserve">  政府性基金预算财政拨款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30</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62</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 xml:space="preserve">  国有资本经营预算财政拨款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31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63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bdr w:val="none" w:color="auto" w:sz="0" w:space="0"/>
                <w:lang w:val="en-US" w:eastAsia="zh-CN" w:bidi="ar"/>
              </w:rPr>
              <w:t>总计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32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31,812,560.84</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bdr w:val="none" w:color="auto" w:sz="0" w:space="0"/>
                <w:lang w:val="en-US" w:eastAsia="zh-CN" w:bidi="ar"/>
              </w:rPr>
              <w:t>总计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bdr w:val="none" w:color="auto" w:sz="0" w:space="0"/>
                <w:lang w:val="en-US" w:eastAsia="zh-CN" w:bidi="ar"/>
              </w:rPr>
              <w:t>64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31,812,560.84</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31,802,560.84</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10,000.00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bl>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年初预算数为283.10万元,支出决算为271.93万元,完成年初预算的96.05%,决算数小于预算数的主要原因是教职工外调和退休人数增加。</w:t>
      </w:r>
    </w:p>
    <w:tbl>
      <w:tblPr>
        <w:tblStyle w:val="2"/>
        <w:tblW w:w="8626" w:type="dxa"/>
        <w:tblInd w:w="0" w:type="dxa"/>
        <w:shd w:val="clear" w:color="auto" w:fill="auto"/>
        <w:tblLayout w:type="fixed"/>
        <w:tblCellMar>
          <w:top w:w="0" w:type="dxa"/>
          <w:left w:w="0" w:type="dxa"/>
          <w:bottom w:w="0" w:type="dxa"/>
          <w:right w:w="0" w:type="dxa"/>
        </w:tblCellMar>
      </w:tblPr>
      <w:tblGrid>
        <w:gridCol w:w="1860"/>
        <w:gridCol w:w="516"/>
        <w:gridCol w:w="850"/>
        <w:gridCol w:w="1734"/>
        <w:gridCol w:w="516"/>
        <w:gridCol w:w="917"/>
        <w:gridCol w:w="100"/>
        <w:gridCol w:w="967"/>
        <w:gridCol w:w="650"/>
        <w:gridCol w:w="516"/>
      </w:tblGrid>
      <w:tr>
        <w:tblPrEx>
          <w:shd w:val="clear" w:color="auto" w:fill="auto"/>
          <w:tblLayout w:type="fixed"/>
          <w:tblCellMar>
            <w:top w:w="0" w:type="dxa"/>
            <w:left w:w="0" w:type="dxa"/>
            <w:bottom w:w="0" w:type="dxa"/>
            <w:right w:w="0" w:type="dxa"/>
          </w:tblCellMar>
        </w:tblPrEx>
        <w:trPr>
          <w:trHeight w:val="300" w:hRule="atLeast"/>
        </w:trPr>
        <w:tc>
          <w:tcPr>
            <w:tcW w:w="3226"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5400" w:type="dxa"/>
            <w:gridSpan w:val="7"/>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shd w:val="clear" w:color="auto" w:fill="auto"/>
          <w:tblLayout w:type="fixed"/>
          <w:tblCellMar>
            <w:top w:w="0" w:type="dxa"/>
            <w:left w:w="0" w:type="dxa"/>
            <w:bottom w:w="0" w:type="dxa"/>
            <w:right w:w="0" w:type="dxa"/>
          </w:tblCellMar>
        </w:tblPrEx>
        <w:trPr>
          <w:trHeight w:val="312" w:hRule="atLeast"/>
        </w:trPr>
        <w:tc>
          <w:tcPr>
            <w:tcW w:w="186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项目</w:t>
            </w:r>
          </w:p>
        </w:tc>
        <w:tc>
          <w:tcPr>
            <w:tcW w:w="51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行次</w:t>
            </w:r>
          </w:p>
        </w:tc>
        <w:tc>
          <w:tcPr>
            <w:tcW w:w="85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金额</w:t>
            </w:r>
          </w:p>
        </w:tc>
        <w:tc>
          <w:tcPr>
            <w:tcW w:w="1734"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项目</w:t>
            </w:r>
          </w:p>
        </w:tc>
        <w:tc>
          <w:tcPr>
            <w:tcW w:w="51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行次</w:t>
            </w:r>
          </w:p>
        </w:tc>
        <w:tc>
          <w:tcPr>
            <w:tcW w:w="1017" w:type="dxa"/>
            <w:gridSpan w:val="2"/>
            <w:vMerge w:val="restart"/>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967"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一般公共预算财政拨款</w:t>
            </w:r>
          </w:p>
        </w:tc>
        <w:tc>
          <w:tcPr>
            <w:tcW w:w="65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政府性基金预算财政拨款</w:t>
            </w:r>
          </w:p>
        </w:tc>
        <w:tc>
          <w:tcPr>
            <w:tcW w:w="51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国有资本经营预算财政拨款</w:t>
            </w:r>
          </w:p>
        </w:tc>
      </w:tr>
      <w:tr>
        <w:tblPrEx>
          <w:tblLayout w:type="fixed"/>
          <w:tblCellMar>
            <w:top w:w="0" w:type="dxa"/>
            <w:left w:w="0" w:type="dxa"/>
            <w:bottom w:w="0" w:type="dxa"/>
            <w:right w:w="0" w:type="dxa"/>
          </w:tblCellMar>
        </w:tblPrEx>
        <w:trPr>
          <w:trHeight w:val="600" w:hRule="atLeast"/>
        </w:trPr>
        <w:tc>
          <w:tcPr>
            <w:tcW w:w="186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51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8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1734"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51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1017" w:type="dxa"/>
            <w:gridSpan w:val="2"/>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967"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6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51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栏次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8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栏次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91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1067"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一、一般公共预算财政拨款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30,540,372.01</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一、一般公共服务支出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二、政府性基金预算财政拨款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10,000.00</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二、外交支出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三、国有资本经营预算财政拨款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三、国防支出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35</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四、公共安全支出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36</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五、教育支出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37</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24,960,273.85</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24,960,273.85</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六、科学技术支出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38</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7</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七、文化旅游体育与传媒支出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39</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8</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八、社会保障和就业支出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40</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2,719,269.46</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2,719,269.46</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九、卫生健康支出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41</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1,077,054.70</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1,077,054.70</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10</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十、节能环保支出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42</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十一、城乡社区支出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十二、农林水支出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13</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十三、交通运输支出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45</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14</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十四、资源勘探工业信息等支出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46</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15</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十五、商业服务业等支出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47</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16</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十六、金融支出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48</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17</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十七、援助其他地区支出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49</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18</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十八、自然资源海洋气象等支出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50</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19</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十九、住房保障支出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51</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1,783,774.00</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1,783,774.00</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20</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二十、粮油物资储备支出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52</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二十一、国有资本经营预算支出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二十二、灾害防治及应急管理支出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23</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二十三、其他支出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55</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b/>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24</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二十四、债务还本支出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56</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25</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二十五、债务付息支出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57</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26</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二十六、抗疫特别国债安排的支出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58</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本年收入合计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27</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30,550,372.01</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本年支出合计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59</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30,550,372.01</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30,540,372.01</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年初财政拨款结转和结余</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28</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1,262,188.83</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年末财政拨款结转和结余</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60</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1,262,188.83</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1,262,188.83</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一般公共预算财政拨款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29</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1,262,188.83</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61</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政府性基金预算财政拨款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30</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62</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国有资本经营预算财政拨款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总计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31,812,560.84</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总计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31,812,560.84</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31,802,560.84</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bl>
    <w:p>
      <w:pPr>
        <w:numPr>
          <w:numId w:val="0"/>
        </w:numPr>
        <w:spacing w:before="100" w:beforeLines="0" w:after="100" w:afterLines="0"/>
        <w:ind w:leftChars="0"/>
        <w:jc w:val="left"/>
        <w:rPr>
          <w:rFonts w:hint="eastAsia" w:ascii="宋体" w:hAnsi="宋体"/>
          <w:color w:val="auto"/>
          <w:sz w:val="24"/>
          <w:szCs w:val="24"/>
          <w:lang w:val="zh-CN"/>
        </w:rPr>
      </w:pPr>
    </w:p>
    <w:p>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年初预算数为107.71万元,支出决算为107.71万元,完成年初预算的100.0。</w:t>
      </w:r>
    </w:p>
    <w:tbl>
      <w:tblPr>
        <w:tblStyle w:val="2"/>
        <w:tblW w:w="8626" w:type="dxa"/>
        <w:tblInd w:w="0" w:type="dxa"/>
        <w:shd w:val="clear" w:color="auto" w:fill="auto"/>
        <w:tblLayout w:type="fixed"/>
        <w:tblCellMar>
          <w:top w:w="0" w:type="dxa"/>
          <w:left w:w="0" w:type="dxa"/>
          <w:bottom w:w="0" w:type="dxa"/>
          <w:right w:w="0" w:type="dxa"/>
        </w:tblCellMar>
      </w:tblPr>
      <w:tblGrid>
        <w:gridCol w:w="1860"/>
        <w:gridCol w:w="516"/>
        <w:gridCol w:w="850"/>
        <w:gridCol w:w="1734"/>
        <w:gridCol w:w="516"/>
        <w:gridCol w:w="917"/>
        <w:gridCol w:w="100"/>
        <w:gridCol w:w="967"/>
        <w:gridCol w:w="650"/>
        <w:gridCol w:w="516"/>
      </w:tblGrid>
      <w:tr>
        <w:tblPrEx>
          <w:shd w:val="clear" w:color="auto" w:fill="auto"/>
          <w:tblLayout w:type="fixed"/>
          <w:tblCellMar>
            <w:top w:w="0" w:type="dxa"/>
            <w:left w:w="0" w:type="dxa"/>
            <w:bottom w:w="0" w:type="dxa"/>
            <w:right w:w="0" w:type="dxa"/>
          </w:tblCellMar>
        </w:tblPrEx>
        <w:trPr>
          <w:trHeight w:val="300" w:hRule="atLeast"/>
        </w:trPr>
        <w:tc>
          <w:tcPr>
            <w:tcW w:w="3226"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5400" w:type="dxa"/>
            <w:gridSpan w:val="7"/>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Layout w:type="fixed"/>
          <w:tblCellMar>
            <w:top w:w="0" w:type="dxa"/>
            <w:left w:w="0" w:type="dxa"/>
            <w:bottom w:w="0" w:type="dxa"/>
            <w:right w:w="0" w:type="dxa"/>
          </w:tblCellMar>
        </w:tblPrEx>
        <w:trPr>
          <w:trHeight w:val="312" w:hRule="atLeast"/>
        </w:trPr>
        <w:tc>
          <w:tcPr>
            <w:tcW w:w="186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项目</w:t>
            </w:r>
          </w:p>
        </w:tc>
        <w:tc>
          <w:tcPr>
            <w:tcW w:w="51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行次</w:t>
            </w:r>
          </w:p>
        </w:tc>
        <w:tc>
          <w:tcPr>
            <w:tcW w:w="85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金额</w:t>
            </w:r>
          </w:p>
        </w:tc>
        <w:tc>
          <w:tcPr>
            <w:tcW w:w="1734"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项目</w:t>
            </w:r>
          </w:p>
        </w:tc>
        <w:tc>
          <w:tcPr>
            <w:tcW w:w="51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行次</w:t>
            </w:r>
          </w:p>
        </w:tc>
        <w:tc>
          <w:tcPr>
            <w:tcW w:w="1017" w:type="dxa"/>
            <w:gridSpan w:val="2"/>
            <w:vMerge w:val="restart"/>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967"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一般公共预算财政拨款</w:t>
            </w:r>
          </w:p>
        </w:tc>
        <w:tc>
          <w:tcPr>
            <w:tcW w:w="65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政府性基金预算财政拨款</w:t>
            </w:r>
          </w:p>
        </w:tc>
        <w:tc>
          <w:tcPr>
            <w:tcW w:w="51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国有资本经营预算财政拨款</w:t>
            </w:r>
          </w:p>
        </w:tc>
      </w:tr>
      <w:tr>
        <w:tblPrEx>
          <w:shd w:val="clear" w:color="auto" w:fill="auto"/>
          <w:tblLayout w:type="fixed"/>
          <w:tblCellMar>
            <w:top w:w="0" w:type="dxa"/>
            <w:left w:w="0" w:type="dxa"/>
            <w:bottom w:w="0" w:type="dxa"/>
            <w:right w:w="0" w:type="dxa"/>
          </w:tblCellMar>
        </w:tblPrEx>
        <w:trPr>
          <w:trHeight w:val="600" w:hRule="atLeast"/>
        </w:trPr>
        <w:tc>
          <w:tcPr>
            <w:tcW w:w="186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51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8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1734"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51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1017" w:type="dxa"/>
            <w:gridSpan w:val="2"/>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967"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6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51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栏次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8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栏次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91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1067"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一、一般公共预算财政拨款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30,540,372.01</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一、一般公共服务支出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二、政府性基金预算财政拨款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10,000.00</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二、外交支出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三、国有资本经营预算财政拨款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三、国防支出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35</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四、公共安全支出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36</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五、教育支出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37</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24,960,273.85</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24,960,273.85</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六、科学技术支出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38</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7</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七、文化旅游体育与传媒支出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39</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8</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八、社会保障和就业支出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40</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2,719,269.46</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2,719,269.46</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九、卫生健康支出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41</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1,077,054.70</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1,077,054.70</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10</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十、节能环保支出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42</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十一、城乡社区支出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十二、农林水支出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13</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十三、交通运输支出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45</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14</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十四、资源勘探工业信息等支出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46</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15</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十五、商业服务业等支出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47</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16</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十六、金融支出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48</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17</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十七、援助其他地区支出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49</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18</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十八、自然资源海洋气象等支出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50</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19</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十九、住房保障支出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51</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1,783,774.00</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1,783,774.00</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20</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二十、粮油物资储备支出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52</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二十一、国有资本经营预算支出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二十二、灾害防治及应急管理支出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23</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二十三、其他支出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55</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b/>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24</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二十四、债务还本支出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56</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25</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二十五、债务付息支出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57</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26</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二十六、抗疫特别国债安排的支出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58</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本年收入合计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27</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30,550,372.01</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本年支出合计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59</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30,550,372.01</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30,540,372.01</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年初财政拨款结转和结余</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28</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1,262,188.83</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年末财政拨款结转和结余</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60</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1,262,188.83</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1,262,188.83</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一般公共预算财政拨款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29</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1,262,188.83</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61</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政府性基金预算财政拨款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30</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62</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国有资本经营预算财政拨款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总计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31,812,560.84</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总计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31,812,560.84</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31,802,560.84</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bl>
    <w:p>
      <w:pPr>
        <w:spacing w:before="100" w:beforeLines="0" w:after="100" w:afterLines="0"/>
        <w:jc w:val="left"/>
        <w:rPr>
          <w:rFonts w:hint="eastAsia" w:ascii="Times New Roman" w:hAnsi="Times New Roman" w:eastAsia="宋体"/>
          <w:b/>
          <w:color w:val="auto"/>
          <w:sz w:val="24"/>
          <w:szCs w:val="24"/>
          <w:lang w:val="en-US" w:eastAsia="zh-CN"/>
        </w:rPr>
      </w:pP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年初预算数为194.33万元,支出决算为178.38万元,完成年初预算的91.79%,决算数小于预算数的主要原因是教职工外调和退休人数增加。</w:t>
      </w:r>
    </w:p>
    <w:tbl>
      <w:tblPr>
        <w:tblStyle w:val="2"/>
        <w:tblW w:w="8626" w:type="dxa"/>
        <w:tblInd w:w="0" w:type="dxa"/>
        <w:shd w:val="clear" w:color="auto" w:fill="auto"/>
        <w:tblLayout w:type="fixed"/>
        <w:tblCellMar>
          <w:top w:w="0" w:type="dxa"/>
          <w:left w:w="0" w:type="dxa"/>
          <w:bottom w:w="0" w:type="dxa"/>
          <w:right w:w="0" w:type="dxa"/>
        </w:tblCellMar>
      </w:tblPr>
      <w:tblGrid>
        <w:gridCol w:w="1860"/>
        <w:gridCol w:w="516"/>
        <w:gridCol w:w="850"/>
        <w:gridCol w:w="1734"/>
        <w:gridCol w:w="516"/>
        <w:gridCol w:w="917"/>
        <w:gridCol w:w="100"/>
        <w:gridCol w:w="967"/>
        <w:gridCol w:w="650"/>
        <w:gridCol w:w="516"/>
      </w:tblGrid>
      <w:tr>
        <w:tblPrEx>
          <w:tblLayout w:type="fixed"/>
          <w:tblCellMar>
            <w:top w:w="0" w:type="dxa"/>
            <w:left w:w="0" w:type="dxa"/>
            <w:bottom w:w="0" w:type="dxa"/>
            <w:right w:w="0" w:type="dxa"/>
          </w:tblCellMar>
        </w:tblPrEx>
        <w:trPr>
          <w:trHeight w:val="300" w:hRule="atLeast"/>
        </w:trPr>
        <w:tc>
          <w:tcPr>
            <w:tcW w:w="3226"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5400" w:type="dxa"/>
            <w:gridSpan w:val="7"/>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Layout w:type="fixed"/>
          <w:tblCellMar>
            <w:top w:w="0" w:type="dxa"/>
            <w:left w:w="0" w:type="dxa"/>
            <w:bottom w:w="0" w:type="dxa"/>
            <w:right w:w="0" w:type="dxa"/>
          </w:tblCellMar>
        </w:tblPrEx>
        <w:trPr>
          <w:trHeight w:val="312" w:hRule="atLeast"/>
        </w:trPr>
        <w:tc>
          <w:tcPr>
            <w:tcW w:w="186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项目</w:t>
            </w:r>
          </w:p>
        </w:tc>
        <w:tc>
          <w:tcPr>
            <w:tcW w:w="51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行次</w:t>
            </w:r>
          </w:p>
        </w:tc>
        <w:tc>
          <w:tcPr>
            <w:tcW w:w="85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金额</w:t>
            </w:r>
          </w:p>
        </w:tc>
        <w:tc>
          <w:tcPr>
            <w:tcW w:w="1734"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项目</w:t>
            </w:r>
          </w:p>
        </w:tc>
        <w:tc>
          <w:tcPr>
            <w:tcW w:w="51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行次</w:t>
            </w:r>
          </w:p>
        </w:tc>
        <w:tc>
          <w:tcPr>
            <w:tcW w:w="1017" w:type="dxa"/>
            <w:gridSpan w:val="2"/>
            <w:vMerge w:val="restart"/>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967"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一般公共预算财政拨款</w:t>
            </w:r>
          </w:p>
        </w:tc>
        <w:tc>
          <w:tcPr>
            <w:tcW w:w="65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政府性基金预算财政拨款</w:t>
            </w:r>
          </w:p>
        </w:tc>
        <w:tc>
          <w:tcPr>
            <w:tcW w:w="51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国有资本经营预算财政拨款</w:t>
            </w:r>
          </w:p>
        </w:tc>
      </w:tr>
      <w:tr>
        <w:tblPrEx>
          <w:tblLayout w:type="fixed"/>
          <w:tblCellMar>
            <w:top w:w="0" w:type="dxa"/>
            <w:left w:w="0" w:type="dxa"/>
            <w:bottom w:w="0" w:type="dxa"/>
            <w:right w:w="0" w:type="dxa"/>
          </w:tblCellMar>
        </w:tblPrEx>
        <w:trPr>
          <w:trHeight w:val="600" w:hRule="atLeast"/>
        </w:trPr>
        <w:tc>
          <w:tcPr>
            <w:tcW w:w="186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51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8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1734"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51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1017" w:type="dxa"/>
            <w:gridSpan w:val="2"/>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967"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6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51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栏次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8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栏次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91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1067"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一、一般公共预算财政拨款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30,540,372.01</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一、一般公共服务支出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二、政府性基金预算财政拨款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10,000.00</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二、外交支出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三、国有资本经营预算财政拨款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三、国防支出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35</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四、公共安全支出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36</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五、教育支出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37</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24,960,273.85</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24,960,273.85</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六、科学技术支出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38</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7</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七、文化旅游体育与传媒支出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39</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8</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八、社会保障和就业支出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40</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2,719,269.46</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2,719,269.46</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九、卫生健康支出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41</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1,077,054.70</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1,077,054.70</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10</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十、节能环保支出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42</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十一、城乡社区支出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十二、农林水支出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13</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十三、交通运输支出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45</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14</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十四、资源勘探工业信息等支出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46</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15</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十五、商业服务业等支出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47</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16</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十六、金融支出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48</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17</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十七、援助其他地区支出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49</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18</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十八、自然资源海洋气象等支出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50</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19</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十九、住房保障支出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51</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1,783,774.00</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1,783,774.00</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20</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二十、粮油物资储备支出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52</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二十一、国有资本经营预算支出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二十二、灾害防治及应急管理支出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23</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二十三、其他支出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55</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b/>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24</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二十四、债务还本支出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56</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25</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二十五、债务付息支出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57</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26</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二十六、抗疫特别国债安排的支出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58</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本年收入合计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27</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30,550,372.01</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本年支出合计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59</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30,550,372.01</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30,540,372.01</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年初财政拨款结转和结余</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28</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1,262,188.83</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年末财政拨款结转和结余</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60</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1,262,188.83</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1,262,188.83</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一般公共预算财政拨款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29</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1,262,188.83</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61</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政府性基金预算财政拨款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30</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62</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国有资本经营预算财政拨款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总计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31,812,560.84</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总计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31,812,560.84</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31,802,560.84</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bl>
    <w:p>
      <w:pPr>
        <w:numPr>
          <w:numId w:val="0"/>
        </w:numPr>
        <w:spacing w:before="100" w:beforeLines="0" w:after="100" w:afterLines="0"/>
        <w:ind w:leftChars="0"/>
        <w:jc w:val="left"/>
        <w:rPr>
          <w:rFonts w:hint="eastAsia" w:ascii="宋体" w:hAnsi="宋体"/>
          <w:color w:val="auto"/>
          <w:sz w:val="24"/>
          <w:szCs w:val="24"/>
          <w:lang w:val="zh-CN"/>
        </w:rPr>
      </w:pP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2023年度一般公共预算财政拨款基本支出2511.25万元。其中：</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2511.25万元,较上年决算数减少227.1万元,下降8.29%,主主要原因是教职工外调和退休人数增加。人员经费用途主要用来支付</w:t>
      </w:r>
      <w:r>
        <w:rPr>
          <w:rFonts w:hint="default" w:ascii="宋体" w:hAnsi="宋体"/>
          <w:color w:val="auto"/>
          <w:sz w:val="24"/>
          <w:szCs w:val="24"/>
          <w:lang w:val="zh-CN"/>
        </w:rPr>
        <w:t>“</w:t>
      </w:r>
      <w:r>
        <w:rPr>
          <w:rFonts w:hint="eastAsia" w:ascii="宋体" w:hAnsi="宋体"/>
          <w:color w:val="auto"/>
          <w:sz w:val="24"/>
          <w:szCs w:val="24"/>
          <w:lang w:val="zh-CN"/>
        </w:rPr>
        <w:t>基本工资、津贴补贴、奖金、社会保障缴费等</w:t>
      </w:r>
      <w:r>
        <w:rPr>
          <w:rFonts w:hint="default" w:ascii="宋体" w:hAnsi="宋体"/>
          <w:color w:val="auto"/>
          <w:sz w:val="24"/>
          <w:szCs w:val="24"/>
          <w:lang w:val="zh-CN"/>
        </w:rPr>
        <w:t>”</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0.00万元,较上年决算数减少146.47万元,下降100.0%,主要原因是支付科目记账不同。公用经费用途主要包括支付</w:t>
      </w:r>
      <w:r>
        <w:rPr>
          <w:rFonts w:hint="default" w:ascii="宋体" w:hAnsi="宋体"/>
          <w:color w:val="auto"/>
          <w:sz w:val="24"/>
          <w:szCs w:val="24"/>
          <w:lang w:val="zh-CN"/>
        </w:rPr>
        <w:t>“</w:t>
      </w:r>
      <w:r>
        <w:rPr>
          <w:rFonts w:hint="eastAsia" w:ascii="宋体" w:hAnsi="宋体"/>
          <w:color w:val="auto"/>
          <w:sz w:val="24"/>
          <w:szCs w:val="24"/>
          <w:lang w:val="zh-CN"/>
        </w:rPr>
        <w:t>办公费、印刷费、咨询费、手续费等</w:t>
      </w:r>
      <w:r>
        <w:rPr>
          <w:rFonts w:hint="default" w:ascii="宋体" w:hAnsi="宋体"/>
          <w:color w:val="auto"/>
          <w:sz w:val="24"/>
          <w:szCs w:val="24"/>
          <w:lang w:val="zh-CN"/>
        </w:rPr>
        <w:t>”</w:t>
      </w:r>
      <w:r>
        <w:rPr>
          <w:rFonts w:hint="eastAsia" w:ascii="宋体" w:hAnsi="宋体"/>
          <w:color w:val="auto"/>
          <w:sz w:val="24"/>
          <w:szCs w:val="24"/>
          <w:lang w:val="zh-CN"/>
        </w:rPr>
        <w:t>)。</w:t>
      </w:r>
    </w:p>
    <w:tbl>
      <w:tblPr>
        <w:tblStyle w:val="2"/>
        <w:tblW w:w="8626" w:type="dxa"/>
        <w:tblInd w:w="0" w:type="dxa"/>
        <w:shd w:val="clear" w:color="auto" w:fill="auto"/>
        <w:tblLayout w:type="fixed"/>
        <w:tblCellMar>
          <w:top w:w="0" w:type="dxa"/>
          <w:left w:w="0" w:type="dxa"/>
          <w:bottom w:w="0" w:type="dxa"/>
          <w:right w:w="0" w:type="dxa"/>
        </w:tblCellMar>
      </w:tblPr>
      <w:tblGrid>
        <w:gridCol w:w="1860"/>
        <w:gridCol w:w="516"/>
        <w:gridCol w:w="850"/>
        <w:gridCol w:w="1734"/>
        <w:gridCol w:w="516"/>
        <w:gridCol w:w="917"/>
        <w:gridCol w:w="100"/>
        <w:gridCol w:w="967"/>
        <w:gridCol w:w="650"/>
        <w:gridCol w:w="516"/>
      </w:tblGrid>
      <w:tr>
        <w:tblPrEx>
          <w:shd w:val="clear" w:color="auto" w:fill="auto"/>
          <w:tblLayout w:type="fixed"/>
          <w:tblCellMar>
            <w:top w:w="0" w:type="dxa"/>
            <w:left w:w="0" w:type="dxa"/>
            <w:bottom w:w="0" w:type="dxa"/>
            <w:right w:w="0" w:type="dxa"/>
          </w:tblCellMar>
        </w:tblPrEx>
        <w:trPr>
          <w:trHeight w:val="300" w:hRule="atLeast"/>
        </w:trPr>
        <w:tc>
          <w:tcPr>
            <w:tcW w:w="3226"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5400" w:type="dxa"/>
            <w:gridSpan w:val="7"/>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shd w:val="clear" w:color="auto" w:fill="auto"/>
          <w:tblLayout w:type="fixed"/>
          <w:tblCellMar>
            <w:top w:w="0" w:type="dxa"/>
            <w:left w:w="0" w:type="dxa"/>
            <w:bottom w:w="0" w:type="dxa"/>
            <w:right w:w="0" w:type="dxa"/>
          </w:tblCellMar>
        </w:tblPrEx>
        <w:trPr>
          <w:trHeight w:val="312" w:hRule="atLeast"/>
        </w:trPr>
        <w:tc>
          <w:tcPr>
            <w:tcW w:w="186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项目</w:t>
            </w:r>
          </w:p>
        </w:tc>
        <w:tc>
          <w:tcPr>
            <w:tcW w:w="51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行次</w:t>
            </w:r>
          </w:p>
        </w:tc>
        <w:tc>
          <w:tcPr>
            <w:tcW w:w="85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金额</w:t>
            </w:r>
          </w:p>
        </w:tc>
        <w:tc>
          <w:tcPr>
            <w:tcW w:w="1734"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项目</w:t>
            </w:r>
          </w:p>
        </w:tc>
        <w:tc>
          <w:tcPr>
            <w:tcW w:w="51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行次</w:t>
            </w:r>
          </w:p>
        </w:tc>
        <w:tc>
          <w:tcPr>
            <w:tcW w:w="1017" w:type="dxa"/>
            <w:gridSpan w:val="2"/>
            <w:vMerge w:val="restart"/>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967"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一般公共预算财政拨款</w:t>
            </w:r>
          </w:p>
        </w:tc>
        <w:tc>
          <w:tcPr>
            <w:tcW w:w="65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政府性基金预算财政拨款</w:t>
            </w:r>
          </w:p>
        </w:tc>
        <w:tc>
          <w:tcPr>
            <w:tcW w:w="51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国有资本经营预算财政拨款</w:t>
            </w:r>
          </w:p>
        </w:tc>
      </w:tr>
      <w:tr>
        <w:tblPrEx>
          <w:tblLayout w:type="fixed"/>
          <w:tblCellMar>
            <w:top w:w="0" w:type="dxa"/>
            <w:left w:w="0" w:type="dxa"/>
            <w:bottom w:w="0" w:type="dxa"/>
            <w:right w:w="0" w:type="dxa"/>
          </w:tblCellMar>
        </w:tblPrEx>
        <w:trPr>
          <w:trHeight w:val="600" w:hRule="atLeast"/>
        </w:trPr>
        <w:tc>
          <w:tcPr>
            <w:tcW w:w="186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51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8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1734"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51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1017" w:type="dxa"/>
            <w:gridSpan w:val="2"/>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967"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6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51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栏次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8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栏次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91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1067"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一、一般公共预算财政拨款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30,540,372.01</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一、一般公共服务支出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二、政府性基金预算财政拨款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10,000.00</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二、外交支出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三、国有资本经营预算财政拨款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三、国防支出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35</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四、公共安全支出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36</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五、教育支出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37</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24,960,273.85</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24,960,273.85</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六、科学技术支出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38</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7</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七、文化旅游体育与传媒支出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39</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8</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八、社会保障和就业支出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40</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2,719,269.46</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2,719,269.46</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九、卫生健康支出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41</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1,077,054.70</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1,077,054.70</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10</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十、节能环保支出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42</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十一、城乡社区支出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十二、农林水支出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13</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十三、交通运输支出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45</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14</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十四、资源勘探工业信息等支出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46</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15</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十五、商业服务业等支出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47</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16</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十六、金融支出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48</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17</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十七、援助其他地区支出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49</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18</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十八、自然资源海洋气象等支出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50</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19</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十九、住房保障支出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51</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1,783,774.00</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1,783,774.00</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20</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二十、粮油物资储备支出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52</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二十一、国有资本经营预算支出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二十二、灾害防治及应急管理支出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23</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二十三、其他支出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55</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b/>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24</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二十四、债务还本支出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56</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25</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二十五、债务付息支出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57</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26</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二十六、抗疫特别国债安排的支出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58</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本年收入合计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27</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30,550,372.01</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本年支出合计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59</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30,550,372.01</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30,540,372.01</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年初财政拨款结转和结余</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28</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1,262,188.83</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年末财政拨款结转和结余</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60</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1,262,188.83</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1,262,188.83</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一般公共预算财政拨款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29</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1,262,188.83</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61</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政府性基金预算财政拨款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30</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62</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国有资本经营预算财政拨款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总计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31,812,560.84</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总计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31,812,560.84</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31,802,560.84</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bl>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2023年度政府性基金预算财政拨款年初结转和结余0.00万元,本年收入1.00万元,本年支出1.00万元,年末结转和结余0.00</w:t>
      </w:r>
      <w:r>
        <w:rPr>
          <w:rFonts w:hint="eastAsia" w:ascii="宋体" w:hAnsi="宋体"/>
          <w:color w:val="auto"/>
          <w:sz w:val="24"/>
          <w:szCs w:val="24"/>
          <w:lang w:val="en-US" w:eastAsia="zh-CN"/>
        </w:rPr>
        <w:t>万元</w:t>
      </w:r>
      <w:r>
        <w:rPr>
          <w:rFonts w:hint="eastAsia" w:ascii="宋体" w:hAnsi="宋体"/>
          <w:color w:val="auto"/>
          <w:sz w:val="24"/>
          <w:szCs w:val="24"/>
          <w:lang w:val="zh-CN"/>
        </w:rPr>
        <w:t>,</w:t>
      </w:r>
    </w:p>
    <w:tbl>
      <w:tblPr>
        <w:tblStyle w:val="2"/>
        <w:tblW w:w="8626" w:type="dxa"/>
        <w:tblInd w:w="0" w:type="dxa"/>
        <w:shd w:val="clear" w:color="auto" w:fill="auto"/>
        <w:tblLayout w:type="fixed"/>
        <w:tblCellMar>
          <w:top w:w="0" w:type="dxa"/>
          <w:left w:w="0" w:type="dxa"/>
          <w:bottom w:w="0" w:type="dxa"/>
          <w:right w:w="0" w:type="dxa"/>
        </w:tblCellMar>
      </w:tblPr>
      <w:tblGrid>
        <w:gridCol w:w="1860"/>
        <w:gridCol w:w="516"/>
        <w:gridCol w:w="850"/>
        <w:gridCol w:w="1734"/>
        <w:gridCol w:w="516"/>
        <w:gridCol w:w="917"/>
        <w:gridCol w:w="100"/>
        <w:gridCol w:w="967"/>
        <w:gridCol w:w="650"/>
        <w:gridCol w:w="516"/>
      </w:tblGrid>
      <w:tr>
        <w:tblPrEx>
          <w:tblLayout w:type="fixed"/>
          <w:tblCellMar>
            <w:top w:w="0" w:type="dxa"/>
            <w:left w:w="0" w:type="dxa"/>
            <w:bottom w:w="0" w:type="dxa"/>
            <w:right w:w="0" w:type="dxa"/>
          </w:tblCellMar>
        </w:tblPrEx>
        <w:trPr>
          <w:trHeight w:val="300" w:hRule="atLeast"/>
        </w:trPr>
        <w:tc>
          <w:tcPr>
            <w:tcW w:w="3226"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5400" w:type="dxa"/>
            <w:gridSpan w:val="7"/>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Layout w:type="fixed"/>
          <w:tblCellMar>
            <w:top w:w="0" w:type="dxa"/>
            <w:left w:w="0" w:type="dxa"/>
            <w:bottom w:w="0" w:type="dxa"/>
            <w:right w:w="0" w:type="dxa"/>
          </w:tblCellMar>
        </w:tblPrEx>
        <w:trPr>
          <w:trHeight w:val="312" w:hRule="atLeast"/>
        </w:trPr>
        <w:tc>
          <w:tcPr>
            <w:tcW w:w="186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项目</w:t>
            </w:r>
          </w:p>
        </w:tc>
        <w:tc>
          <w:tcPr>
            <w:tcW w:w="51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行次</w:t>
            </w:r>
          </w:p>
        </w:tc>
        <w:tc>
          <w:tcPr>
            <w:tcW w:w="85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金额</w:t>
            </w:r>
          </w:p>
        </w:tc>
        <w:tc>
          <w:tcPr>
            <w:tcW w:w="1734"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项目</w:t>
            </w:r>
          </w:p>
        </w:tc>
        <w:tc>
          <w:tcPr>
            <w:tcW w:w="51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行次</w:t>
            </w:r>
          </w:p>
        </w:tc>
        <w:tc>
          <w:tcPr>
            <w:tcW w:w="1017" w:type="dxa"/>
            <w:gridSpan w:val="2"/>
            <w:vMerge w:val="restart"/>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967"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一般公共预算财政拨款</w:t>
            </w:r>
          </w:p>
        </w:tc>
        <w:tc>
          <w:tcPr>
            <w:tcW w:w="65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政府性基金预算财政拨款</w:t>
            </w:r>
          </w:p>
        </w:tc>
        <w:tc>
          <w:tcPr>
            <w:tcW w:w="51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国有资本经营预算财政拨款</w:t>
            </w:r>
          </w:p>
        </w:tc>
      </w:tr>
      <w:tr>
        <w:tblPrEx>
          <w:tblLayout w:type="fixed"/>
          <w:tblCellMar>
            <w:top w:w="0" w:type="dxa"/>
            <w:left w:w="0" w:type="dxa"/>
            <w:bottom w:w="0" w:type="dxa"/>
            <w:right w:w="0" w:type="dxa"/>
          </w:tblCellMar>
        </w:tblPrEx>
        <w:trPr>
          <w:trHeight w:val="600" w:hRule="atLeast"/>
        </w:trPr>
        <w:tc>
          <w:tcPr>
            <w:tcW w:w="186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51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8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1734"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51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1017" w:type="dxa"/>
            <w:gridSpan w:val="2"/>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967"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6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51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栏次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8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栏次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11"/>
                <w:szCs w:val="11"/>
                <w:u w:val="none"/>
              </w:rPr>
            </w:pPr>
          </w:p>
        </w:tc>
        <w:tc>
          <w:tcPr>
            <w:tcW w:w="91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1067"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一、一般公共预算财政拨款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30,540,372.01</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一、一般公共服务支出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二、政府性基金预算财政拨款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10,000.00</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二、外交支出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三、国有资本经营预算财政拨款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三、国防支出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35</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四、公共安全支出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36</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五、教育支出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37</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24,960,273.85</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24,960,273.85</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六、科学技术支出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38</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7</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七、文化旅游体育与传媒支出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39</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8</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八、社会保障和就业支出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40</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2,719,269.46</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2,719,269.46</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9</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九、卫生健康支出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41</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1,077,054.70</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1,077,054.70</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10</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十、节能环保支出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42</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十一、城乡社区支出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十二、农林水支出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13</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十三、交通运输支出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45</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14</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十四、资源勘探工业信息等支出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46</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15</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十五、商业服务业等支出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47</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16</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十六、金融支出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48</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17</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十七、援助其他地区支出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49</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18</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十八、自然资源海洋气象等支出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50</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19</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十九、住房保障支出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51</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1,783,774.00</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1,783,774.00</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20</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二十、粮油物资储备支出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52</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二十一、国有资本经营预算支出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二十二、灾害防治及应急管理支出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23</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二十三、其他支出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55</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b/>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24</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二十四、债务还本支出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56</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25</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二十五、债务付息支出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57</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26</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二十六、抗疫特别国债安排的支出</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58</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本年收入合计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27</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30,550,372.01</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本年支出合计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59</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30,550,372.01</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30,540,372.01</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年初财政拨款结转和结余</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28</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1,262,188.83</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年末财政拨款结转和结余</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60</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1,262,188.83</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1,262,188.83</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一般公共预算财政拨款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29</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1,262,188.83</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61</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政府性基金预算财政拨款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30</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62</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 xml:space="preserve">  国有资本经营预算财政拨款</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31</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1"/>
                <w:szCs w:val="11"/>
                <w:u w:val="none"/>
              </w:rPr>
            </w:pP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11"/>
                <w:szCs w:val="11"/>
                <w:u w:val="none"/>
              </w:rPr>
            </w:pP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63</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Layout w:type="fixed"/>
          <w:tblCellMar>
            <w:top w:w="0" w:type="dxa"/>
            <w:left w:w="0" w:type="dxa"/>
            <w:bottom w:w="0" w:type="dxa"/>
            <w:right w:w="0" w:type="dxa"/>
          </w:tblCellMar>
        </w:tblPrEx>
        <w:trPr>
          <w:trHeight w:val="300" w:hRule="atLeast"/>
        </w:trPr>
        <w:tc>
          <w:tcPr>
            <w:tcW w:w="186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总计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32</w:t>
            </w:r>
          </w:p>
        </w:tc>
        <w:tc>
          <w:tcPr>
            <w:tcW w:w="8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31,812,560.84</w:t>
            </w:r>
          </w:p>
        </w:tc>
        <w:tc>
          <w:tcPr>
            <w:tcW w:w="1734"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1"/>
                <w:szCs w:val="11"/>
                <w:u w:val="none"/>
              </w:rPr>
            </w:pPr>
            <w:r>
              <w:rPr>
                <w:rFonts w:hint="eastAsia" w:ascii="宋体" w:hAnsi="宋体" w:eastAsia="宋体" w:cs="宋体"/>
                <w:b/>
                <w:i w:val="0"/>
                <w:color w:val="000000"/>
                <w:kern w:val="0"/>
                <w:sz w:val="11"/>
                <w:szCs w:val="11"/>
                <w:u w:val="none"/>
                <w:lang w:val="en-US" w:eastAsia="zh-CN" w:bidi="ar"/>
              </w:rPr>
              <w:t>总计</w:t>
            </w:r>
          </w:p>
        </w:tc>
        <w:tc>
          <w:tcPr>
            <w:tcW w:w="5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64</w:t>
            </w:r>
          </w:p>
        </w:tc>
        <w:tc>
          <w:tcPr>
            <w:tcW w:w="1017"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31,812,560.84</w:t>
            </w:r>
          </w:p>
        </w:tc>
        <w:tc>
          <w:tcPr>
            <w:tcW w:w="967"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31,802,560.84</w:t>
            </w:r>
          </w:p>
        </w:tc>
        <w:tc>
          <w:tcPr>
            <w:tcW w:w="6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w:t>
            </w:r>
          </w:p>
        </w:tc>
        <w:tc>
          <w:tcPr>
            <w:tcW w:w="51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bl>
    <w:p>
      <w:pPr>
        <w:spacing w:before="100" w:beforeLines="0" w:after="100" w:afterLines="0"/>
        <w:jc w:val="left"/>
        <w:rPr>
          <w:rFonts w:hint="eastAsia" w:ascii="宋体" w:hAnsi="宋体"/>
          <w:color w:val="auto"/>
          <w:sz w:val="24"/>
          <w:szCs w:val="24"/>
          <w:lang w:val="zh-CN"/>
        </w:rPr>
      </w:pPr>
      <w:bookmarkStart w:id="0" w:name="_GoBack"/>
      <w:bookmarkEnd w:id="0"/>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(2023年度国有资本经营预算财政拨款本年支出0.00万元。</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(差额拨款单位,无</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经费支出的。主要原因为</w:t>
      </w:r>
      <w:r>
        <w:rPr>
          <w:rFonts w:hint="default" w:ascii="宋体" w:hAnsi="宋体"/>
          <w:color w:val="auto"/>
          <w:sz w:val="24"/>
          <w:szCs w:val="24"/>
          <w:lang w:val="zh-CN"/>
        </w:rPr>
        <w:t>“</w:t>
      </w:r>
      <w:r>
        <w:rPr>
          <w:rFonts w:hint="eastAsia" w:ascii="宋体" w:hAnsi="宋体"/>
          <w:color w:val="auto"/>
          <w:sz w:val="24"/>
          <w:szCs w:val="24"/>
          <w:lang w:val="zh-CN"/>
        </w:rPr>
        <w:t>我单位属于事业单位,无</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r>
        <w:rPr>
          <w:rFonts w:hint="default" w:ascii="宋体" w:hAnsi="宋体"/>
          <w:color w:val="auto"/>
          <w:sz w:val="24"/>
          <w:szCs w:val="24"/>
          <w:lang w:val="zh-CN"/>
        </w:rPr>
        <w:t>”</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w:t>
      </w:r>
      <w:r>
        <w:rPr>
          <w:rFonts w:hint="eastAsia" w:ascii="宋体" w:hAnsi="宋体"/>
          <w:color w:val="FF0000"/>
          <w:sz w:val="24"/>
          <w:szCs w:val="24"/>
          <w:lang w:val="zh-CN"/>
        </w:rPr>
        <w:t>。</w:t>
      </w:r>
    </w:p>
    <w:p>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FF0000"/>
          <w:sz w:val="24"/>
          <w:szCs w:val="24"/>
          <w:lang w:val="zh-CN"/>
        </w:rPr>
        <w:t>。</w:t>
      </w:r>
    </w:p>
    <w:p>
      <w:pPr>
        <w:numPr>
          <w:ilvl w:val="0"/>
          <w:numId w:val="4"/>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w:t>
      </w:r>
      <w:r>
        <w:rPr>
          <w:rFonts w:hint="eastAsia" w:ascii="宋体" w:hAnsi="宋体"/>
          <w:color w:val="FF0000"/>
          <w:sz w:val="24"/>
          <w:szCs w:val="24"/>
          <w:lang w:val="zh-CN"/>
        </w:rPr>
        <w:t>。</w:t>
      </w:r>
    </w:p>
    <w:p>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2023年度本部门机关运行经费支出0.00万元,我单位无机关运行经费</w:t>
      </w:r>
      <w:r>
        <w:rPr>
          <w:rFonts w:hint="eastAsia" w:ascii="宋体" w:hAnsi="宋体"/>
          <w:color w:val="FF0000"/>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2023年度本部门政府采购支出合计0.00万元,其中：政府采购货物支出0.00万元、政府采购工程支出0.00万元、政府采购服务支出0.00万元。我单位无政府采购支出。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w:t>
      </w:r>
      <w:r>
        <w:rPr>
          <w:rFonts w:hint="eastAsia" w:ascii="宋体" w:hAnsi="宋体"/>
          <w:color w:val="auto"/>
          <w:sz w:val="24"/>
          <w:szCs w:val="24"/>
          <w:lang w:val="en-US" w:eastAsia="zh-CN"/>
        </w:rPr>
        <w:t>0</w:t>
      </w:r>
      <w:r>
        <w:rPr>
          <w:rFonts w:hint="eastAsia" w:ascii="宋体" w:hAnsi="宋体"/>
          <w:color w:val="auto"/>
          <w:sz w:val="24"/>
          <w:szCs w:val="24"/>
          <w:lang w:val="zh-CN"/>
        </w:rPr>
        <w:t>辆,其中,副部(省)级及以上领导用车</w:t>
      </w:r>
      <w:r>
        <w:rPr>
          <w:rFonts w:hint="eastAsia" w:ascii="宋体" w:hAnsi="宋体"/>
          <w:color w:val="auto"/>
          <w:sz w:val="24"/>
          <w:szCs w:val="24"/>
          <w:lang w:val="en-US" w:eastAsia="zh-CN"/>
        </w:rPr>
        <w:t>0</w:t>
      </w:r>
      <w:r>
        <w:rPr>
          <w:rFonts w:hint="eastAsia" w:ascii="宋体" w:hAnsi="宋体"/>
          <w:color w:val="auto"/>
          <w:sz w:val="24"/>
          <w:szCs w:val="24"/>
          <w:lang w:val="zh-CN"/>
        </w:rPr>
        <w:t>辆、主要领导干部用车</w:t>
      </w:r>
      <w:r>
        <w:rPr>
          <w:rFonts w:hint="eastAsia" w:ascii="宋体" w:hAnsi="宋体"/>
          <w:color w:val="auto"/>
          <w:sz w:val="24"/>
          <w:szCs w:val="24"/>
          <w:lang w:val="en-US" w:eastAsia="zh-CN"/>
        </w:rPr>
        <w:t>0</w:t>
      </w:r>
      <w:r>
        <w:rPr>
          <w:rFonts w:hint="eastAsia" w:ascii="宋体" w:hAnsi="宋体"/>
          <w:color w:val="auto"/>
          <w:sz w:val="24"/>
          <w:szCs w:val="24"/>
          <w:lang w:val="zh-CN"/>
        </w:rPr>
        <w:t>辆、机要通信用车</w:t>
      </w:r>
      <w:r>
        <w:rPr>
          <w:rFonts w:hint="eastAsia" w:ascii="宋体" w:hAnsi="宋体"/>
          <w:color w:val="auto"/>
          <w:sz w:val="24"/>
          <w:szCs w:val="24"/>
          <w:lang w:val="en-US" w:eastAsia="zh-CN"/>
        </w:rPr>
        <w:t>0</w:t>
      </w:r>
      <w:r>
        <w:rPr>
          <w:rFonts w:hint="eastAsia" w:ascii="宋体" w:hAnsi="宋体"/>
          <w:color w:val="auto"/>
          <w:sz w:val="24"/>
          <w:szCs w:val="24"/>
          <w:lang w:val="zh-CN"/>
        </w:rPr>
        <w:t>辆、应急保障用车</w:t>
      </w:r>
      <w:r>
        <w:rPr>
          <w:rFonts w:hint="eastAsia" w:ascii="宋体" w:hAnsi="宋体"/>
          <w:color w:val="auto"/>
          <w:sz w:val="24"/>
          <w:szCs w:val="24"/>
          <w:lang w:val="en-US" w:eastAsia="zh-CN"/>
        </w:rPr>
        <w:t>0</w:t>
      </w:r>
      <w:r>
        <w:rPr>
          <w:rFonts w:hint="eastAsia" w:ascii="宋体" w:hAnsi="宋体"/>
          <w:color w:val="auto"/>
          <w:sz w:val="24"/>
          <w:szCs w:val="24"/>
          <w:lang w:val="zh-CN"/>
        </w:rPr>
        <w:t>辆、执法执勤用车</w:t>
      </w:r>
      <w:r>
        <w:rPr>
          <w:rFonts w:hint="eastAsia" w:ascii="宋体" w:hAnsi="宋体"/>
          <w:color w:val="auto"/>
          <w:sz w:val="24"/>
          <w:szCs w:val="24"/>
          <w:lang w:val="en-US" w:eastAsia="zh-CN"/>
        </w:rPr>
        <w:t>0</w:t>
      </w:r>
      <w:r>
        <w:rPr>
          <w:rFonts w:hint="eastAsia" w:ascii="宋体" w:hAnsi="宋体"/>
          <w:color w:val="auto"/>
          <w:sz w:val="24"/>
          <w:szCs w:val="24"/>
          <w:lang w:val="zh-CN"/>
        </w:rPr>
        <w:t>辆,特种专业技术用车</w:t>
      </w:r>
      <w:r>
        <w:rPr>
          <w:rFonts w:hint="eastAsia" w:ascii="宋体" w:hAnsi="宋体"/>
          <w:color w:val="auto"/>
          <w:sz w:val="24"/>
          <w:szCs w:val="24"/>
          <w:lang w:val="en-US" w:eastAsia="zh-CN"/>
        </w:rPr>
        <w:t>0</w:t>
      </w:r>
      <w:r>
        <w:rPr>
          <w:rFonts w:hint="eastAsia" w:ascii="宋体" w:hAnsi="宋体"/>
          <w:color w:val="auto"/>
          <w:sz w:val="24"/>
          <w:szCs w:val="24"/>
          <w:lang w:val="zh-CN"/>
        </w:rPr>
        <w:t>辆,离退休干部用车</w:t>
      </w:r>
      <w:r>
        <w:rPr>
          <w:rFonts w:hint="eastAsia" w:ascii="宋体" w:hAnsi="宋体"/>
          <w:color w:val="auto"/>
          <w:sz w:val="24"/>
          <w:szCs w:val="24"/>
          <w:lang w:val="en-US" w:eastAsia="zh-CN"/>
        </w:rPr>
        <w:t>0</w:t>
      </w:r>
      <w:r>
        <w:rPr>
          <w:rFonts w:hint="eastAsia" w:ascii="宋体" w:hAnsi="宋体"/>
          <w:color w:val="auto"/>
          <w:sz w:val="24"/>
          <w:szCs w:val="24"/>
          <w:lang w:val="zh-CN"/>
        </w:rPr>
        <w:t>辆,其他用车</w:t>
      </w:r>
      <w:r>
        <w:rPr>
          <w:rFonts w:hint="eastAsia" w:ascii="宋体" w:hAnsi="宋体"/>
          <w:color w:val="auto"/>
          <w:sz w:val="24"/>
          <w:szCs w:val="24"/>
          <w:lang w:val="en-US" w:eastAsia="zh-CN"/>
        </w:rPr>
        <w:t>0</w:t>
      </w:r>
      <w:r>
        <w:rPr>
          <w:rFonts w:hint="eastAsia" w:ascii="宋体" w:hAnsi="宋体"/>
          <w:color w:val="auto"/>
          <w:sz w:val="24"/>
          <w:szCs w:val="24"/>
          <w:lang w:val="zh-CN"/>
        </w:rPr>
        <w:t>辆,我单位无共有车辆。</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仿宋_GB2312" w:hAnsi="仿宋_GB2312" w:eastAsia="仿宋_GB2312" w:cs="仿宋_GB2312"/>
          <w:color w:val="auto"/>
          <w:sz w:val="32"/>
          <w:szCs w:val="32"/>
          <w:lang w:val="zh-CN"/>
        </w:rPr>
      </w:pPr>
      <w:r>
        <w:rPr>
          <w:rFonts w:hint="eastAsia" w:ascii="宋体" w:hAnsi="宋体"/>
          <w:b/>
          <w:bCs/>
          <w:color w:val="auto"/>
          <w:sz w:val="24"/>
          <w:szCs w:val="24"/>
          <w:lang w:val="zh-CN" w:eastAsia="zh-CN"/>
        </w:rPr>
        <w:t>一、预算绩效管理工作开展情况</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pPr>
        <w:spacing w:before="100" w:beforeLines="0" w:after="100" w:afterLines="0"/>
        <w:jc w:val="both"/>
        <w:rPr>
          <w:rFonts w:hint="eastAsia" w:asciiTheme="minorEastAsia" w:hAnsiTheme="minorEastAsia" w:eastAsiaTheme="minorEastAsia" w:cstheme="minorEastAsia"/>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6BB037"/>
    <w:multiLevelType w:val="singleLevel"/>
    <w:tmpl w:val="A46BB037"/>
    <w:lvl w:ilvl="0" w:tentative="0">
      <w:start w:val="1"/>
      <w:numFmt w:val="decimal"/>
      <w:suff w:val="nothing"/>
      <w:lvlText w:val="%1．"/>
      <w:lvlJc w:val="left"/>
    </w:lvl>
  </w:abstractNum>
  <w:abstractNum w:abstractNumId="1">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NDU0MWMzNzRiYjM5ZWM5YjNlMjQ0YTc5NmYyYWIifQ=="/>
  </w:docVars>
  <w:rsids>
    <w:rsidRoot w:val="00000000"/>
    <w:rsid w:val="101F3091"/>
    <w:rsid w:val="12E01B6A"/>
    <w:rsid w:val="5A6877D5"/>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196ac2d-1741-435c-b981-bb56a8e45154}">
  <ds:schemaRefs/>
</ds:datastoreItem>
</file>

<file path=customXml/itemProps2.xml><?xml version="1.0" encoding="utf-8"?>
<ds:datastoreItem xmlns:ds="http://schemas.openxmlformats.org/officeDocument/2006/customXml" ds:itemID="{0734c2c6-1cdb-4d71-9913-275718980e9e}">
  <ds:schemaRefs/>
</ds:datastoreItem>
</file>

<file path=customXml/itemProps3.xml><?xml version="1.0" encoding="utf-8"?>
<ds:datastoreItem xmlns:ds="http://schemas.openxmlformats.org/officeDocument/2006/customXml" ds:itemID="{3c7faf9a-13a3-416e-9a88-8245b1b988ca}">
  <ds:schemaRefs/>
</ds:datastoreItem>
</file>

<file path=customXml/itemProps4.xml><?xml version="1.0" encoding="utf-8"?>
<ds:datastoreItem xmlns:ds="http://schemas.openxmlformats.org/officeDocument/2006/customXml" ds:itemID="{55b0c5cb-4dc2-4dc3-b257-db81a1edbec0}">
  <ds:schemaRefs/>
</ds:datastoreItem>
</file>

<file path=customXml/itemProps5.xml><?xml version="1.0" encoding="utf-8"?>
<ds:datastoreItem xmlns:ds="http://schemas.openxmlformats.org/officeDocument/2006/customXml" ds:itemID="{15a16fa5-0206-4e73-8ed3-c43b9121b9a8}">
  <ds:schemaRefs/>
</ds:datastoreItem>
</file>

<file path=customXml/itemProps6.xml><?xml version="1.0" encoding="utf-8"?>
<ds:datastoreItem xmlns:ds="http://schemas.openxmlformats.org/officeDocument/2006/customXml" ds:itemID="{464d7191-cfa0-404d-a6c9-3a8e4b2bc260}">
  <ds:schemaRefs/>
</ds:datastoreItem>
</file>

<file path=customXml/itemProps7.xml><?xml version="1.0" encoding="utf-8"?>
<ds:datastoreItem xmlns:ds="http://schemas.openxmlformats.org/officeDocument/2006/customXml" ds:itemID="{852a9a70-5ba1-4ed6-a69c-a09da9cee67b}">
  <ds:schemaRefs/>
</ds:datastoreItem>
</file>

<file path=customXml/itemProps8.xml><?xml version="1.0" encoding="utf-8"?>
<ds:datastoreItem xmlns:ds="http://schemas.openxmlformats.org/officeDocument/2006/customXml" ds:itemID="{d4338a2e-b562-45af-89d3-d099c648f514}">
  <ds:schemaRefs/>
</ds:datastoreItem>
</file>

<file path=customXml/itemProps9.xml><?xml version="1.0" encoding="utf-8"?>
<ds:datastoreItem xmlns:ds="http://schemas.openxmlformats.org/officeDocument/2006/customXml" ds:itemID="{ab69770e-f863-4e65-983b-ca15768de860}">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0</TotalTime>
  <ScaleCrop>false</ScaleCrop>
  <LinksUpToDate>false</LinksUpToDate>
  <CharactersWithSpaces>19281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回不去的时光</cp:lastModifiedBy>
  <dcterms:modified xsi:type="dcterms:W3CDTF">2024-09-06T02:14:56Z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E06D266F13EA4024808CEEADBAD91186_11</vt:lpwstr>
  </property>
</Properties>
</file>