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6E68">
      <w:pPr>
        <w:spacing w:before="100" w:beforeLines="0" w:after="100" w:afterLines="0"/>
        <w:jc w:val="center"/>
        <w:rPr>
          <w:rFonts w:hint="eastAsia" w:ascii="宋体" w:hAnsi="宋体"/>
          <w:sz w:val="24"/>
          <w:szCs w:val="24"/>
          <w:lang w:val="zh-CN"/>
        </w:rPr>
      </w:pPr>
    </w:p>
    <w:p w14:paraId="4E310C13">
      <w:pPr>
        <w:spacing w:before="100" w:beforeLines="0" w:after="100" w:afterLines="0"/>
        <w:jc w:val="center"/>
        <w:rPr>
          <w:rFonts w:hint="eastAsia" w:ascii="宋体" w:hAnsi="宋体"/>
          <w:sz w:val="24"/>
          <w:szCs w:val="24"/>
          <w:lang w:val="zh-CN"/>
        </w:rPr>
      </w:pPr>
    </w:p>
    <w:p w14:paraId="48E76545">
      <w:pPr>
        <w:spacing w:before="100" w:beforeLines="0" w:after="100" w:afterLines="0"/>
        <w:jc w:val="center"/>
        <w:rPr>
          <w:rFonts w:hint="eastAsia" w:ascii="宋体" w:hAnsi="宋体"/>
          <w:sz w:val="24"/>
          <w:szCs w:val="24"/>
          <w:lang w:val="zh-CN"/>
        </w:rPr>
      </w:pPr>
    </w:p>
    <w:p w14:paraId="22877D12">
      <w:pPr>
        <w:spacing w:before="100" w:beforeLines="0" w:after="100" w:afterLines="0"/>
        <w:jc w:val="center"/>
        <w:rPr>
          <w:rFonts w:hint="eastAsia" w:ascii="宋体" w:hAnsi="宋体"/>
          <w:sz w:val="24"/>
          <w:szCs w:val="24"/>
          <w:lang w:val="zh-CN"/>
        </w:rPr>
      </w:pPr>
    </w:p>
    <w:p w14:paraId="4E9027E2">
      <w:pPr>
        <w:spacing w:before="100" w:beforeLines="0" w:after="100" w:afterLines="0"/>
        <w:jc w:val="center"/>
        <w:rPr>
          <w:rFonts w:hint="eastAsia" w:ascii="宋体" w:hAnsi="宋体"/>
          <w:sz w:val="24"/>
          <w:szCs w:val="24"/>
          <w:lang w:val="zh-CN"/>
        </w:rPr>
      </w:pPr>
    </w:p>
    <w:p w14:paraId="5CAC701B">
      <w:pPr>
        <w:spacing w:before="100" w:beforeLines="0" w:after="100" w:afterLines="0"/>
        <w:jc w:val="center"/>
        <w:rPr>
          <w:rFonts w:hint="eastAsia" w:ascii="宋体" w:hAnsi="宋体"/>
          <w:sz w:val="24"/>
          <w:szCs w:val="24"/>
          <w:lang w:val="zh-CN"/>
        </w:rPr>
      </w:pPr>
    </w:p>
    <w:p w14:paraId="6FA615E2">
      <w:pPr>
        <w:spacing w:before="100" w:beforeLines="0" w:after="100" w:afterLines="0"/>
        <w:jc w:val="center"/>
        <w:rPr>
          <w:rFonts w:hint="eastAsia" w:ascii="宋体" w:hAnsi="宋体"/>
          <w:sz w:val="24"/>
          <w:szCs w:val="24"/>
          <w:lang w:val="zh-CN"/>
        </w:rPr>
      </w:pPr>
    </w:p>
    <w:p w14:paraId="17D6BE98">
      <w:pPr>
        <w:spacing w:before="100" w:beforeLines="0" w:after="100" w:afterLines="0"/>
        <w:jc w:val="center"/>
        <w:rPr>
          <w:rFonts w:hint="eastAsia" w:ascii="宋体" w:hAnsi="宋体"/>
          <w:sz w:val="24"/>
          <w:szCs w:val="24"/>
          <w:lang w:val="zh-CN"/>
        </w:rPr>
      </w:pPr>
    </w:p>
    <w:p w14:paraId="6E6A6ED5">
      <w:pPr>
        <w:spacing w:before="100" w:beforeLines="0" w:after="100" w:afterLines="0"/>
        <w:jc w:val="center"/>
        <w:rPr>
          <w:rFonts w:hint="eastAsia" w:ascii="宋体" w:hAnsi="宋体"/>
          <w:sz w:val="24"/>
          <w:szCs w:val="24"/>
          <w:lang w:val="zh-CN"/>
        </w:rPr>
      </w:pPr>
    </w:p>
    <w:p w14:paraId="7AF4968B">
      <w:pPr>
        <w:spacing w:before="100" w:beforeLines="0" w:after="100" w:afterLines="0"/>
        <w:jc w:val="center"/>
        <w:rPr>
          <w:rFonts w:hint="eastAsia" w:ascii="宋体" w:hAnsi="宋体"/>
          <w:sz w:val="24"/>
          <w:szCs w:val="24"/>
          <w:lang w:val="zh-CN"/>
        </w:rPr>
      </w:pPr>
    </w:p>
    <w:p w14:paraId="190035A1">
      <w:pPr>
        <w:spacing w:before="100" w:beforeLines="0" w:after="100" w:afterLines="0"/>
        <w:jc w:val="center"/>
        <w:rPr>
          <w:rFonts w:hint="eastAsia" w:ascii="宋体" w:hAnsi="宋体"/>
          <w:sz w:val="24"/>
          <w:szCs w:val="24"/>
          <w:lang w:val="zh-CN"/>
        </w:rPr>
      </w:pPr>
    </w:p>
    <w:p w14:paraId="4311E5F4">
      <w:pPr>
        <w:spacing w:before="100" w:beforeLines="0" w:after="100" w:afterLines="0"/>
        <w:jc w:val="center"/>
        <w:rPr>
          <w:rFonts w:hint="eastAsia" w:ascii="宋体" w:hAnsi="宋体"/>
          <w:sz w:val="24"/>
          <w:szCs w:val="24"/>
          <w:lang w:val="zh-CN"/>
        </w:rPr>
      </w:pPr>
    </w:p>
    <w:p w14:paraId="7CE4E75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4927D4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东乡族自治县中共东乡族自治县委员会办公室（本级）部门决算</w:t>
      </w:r>
    </w:p>
    <w:p w14:paraId="10E5806C">
      <w:pPr>
        <w:spacing w:before="100" w:beforeLines="0" w:after="100" w:afterLines="0"/>
        <w:jc w:val="center"/>
        <w:rPr>
          <w:rFonts w:hint="eastAsia" w:ascii="宋体" w:hAnsi="宋体"/>
          <w:sz w:val="24"/>
          <w:szCs w:val="24"/>
          <w:lang w:val="zh-CN"/>
        </w:rPr>
      </w:pPr>
    </w:p>
    <w:p w14:paraId="565A7BA5">
      <w:pPr>
        <w:spacing w:before="100" w:beforeLines="0" w:after="100" w:afterLines="0"/>
        <w:jc w:val="center"/>
        <w:rPr>
          <w:rFonts w:hint="eastAsia" w:ascii="宋体" w:hAnsi="宋体"/>
          <w:sz w:val="24"/>
          <w:szCs w:val="24"/>
          <w:lang w:val="zh-CN"/>
        </w:rPr>
      </w:pPr>
    </w:p>
    <w:p w14:paraId="6E4C618F">
      <w:pPr>
        <w:spacing w:before="100" w:beforeLines="0" w:after="100" w:afterLines="0"/>
        <w:jc w:val="center"/>
        <w:rPr>
          <w:rFonts w:hint="eastAsia" w:ascii="宋体" w:hAnsi="宋体"/>
          <w:sz w:val="24"/>
          <w:szCs w:val="24"/>
          <w:lang w:val="zh-CN"/>
        </w:rPr>
      </w:pPr>
    </w:p>
    <w:p w14:paraId="58D70F90">
      <w:pPr>
        <w:spacing w:before="100" w:beforeLines="0" w:after="100" w:afterLines="0"/>
        <w:jc w:val="center"/>
        <w:rPr>
          <w:rFonts w:hint="eastAsia" w:ascii="宋体" w:hAnsi="宋体"/>
          <w:sz w:val="24"/>
          <w:szCs w:val="24"/>
          <w:lang w:val="zh-CN"/>
        </w:rPr>
      </w:pPr>
    </w:p>
    <w:p w14:paraId="4011F191">
      <w:pPr>
        <w:spacing w:before="100" w:beforeLines="0" w:after="100" w:afterLines="0"/>
        <w:jc w:val="center"/>
        <w:rPr>
          <w:rFonts w:hint="eastAsia" w:ascii="宋体" w:hAnsi="宋体"/>
          <w:sz w:val="24"/>
          <w:szCs w:val="24"/>
          <w:lang w:val="zh-CN"/>
        </w:rPr>
      </w:pPr>
    </w:p>
    <w:p w14:paraId="78C946EE">
      <w:pPr>
        <w:spacing w:before="100" w:beforeLines="0" w:after="100" w:afterLines="0"/>
        <w:jc w:val="center"/>
        <w:rPr>
          <w:rFonts w:hint="eastAsia" w:ascii="宋体" w:hAnsi="宋体"/>
          <w:sz w:val="24"/>
          <w:szCs w:val="24"/>
          <w:lang w:val="zh-CN"/>
        </w:rPr>
      </w:pPr>
    </w:p>
    <w:p w14:paraId="4A3FF714">
      <w:pPr>
        <w:spacing w:before="100" w:beforeLines="0" w:after="100" w:afterLines="0"/>
        <w:jc w:val="center"/>
        <w:rPr>
          <w:rFonts w:hint="eastAsia" w:ascii="宋体" w:hAnsi="宋体"/>
          <w:sz w:val="24"/>
          <w:szCs w:val="24"/>
          <w:lang w:val="zh-CN"/>
        </w:rPr>
      </w:pPr>
    </w:p>
    <w:p w14:paraId="48829902">
      <w:pPr>
        <w:spacing w:before="100" w:beforeLines="0" w:after="100" w:afterLines="0"/>
        <w:jc w:val="center"/>
        <w:rPr>
          <w:rFonts w:hint="eastAsia" w:ascii="宋体" w:hAnsi="宋体"/>
          <w:sz w:val="24"/>
          <w:szCs w:val="24"/>
          <w:lang w:val="zh-CN"/>
        </w:rPr>
      </w:pPr>
    </w:p>
    <w:p w14:paraId="0604CE52">
      <w:pPr>
        <w:spacing w:before="100" w:beforeLines="0" w:after="100" w:afterLines="0"/>
        <w:jc w:val="center"/>
        <w:rPr>
          <w:rFonts w:hint="eastAsia" w:ascii="宋体" w:hAnsi="宋体"/>
          <w:sz w:val="24"/>
          <w:szCs w:val="24"/>
          <w:lang w:val="zh-CN"/>
        </w:rPr>
      </w:pPr>
    </w:p>
    <w:p w14:paraId="34E47FEE">
      <w:pPr>
        <w:spacing w:before="100" w:beforeLines="0" w:after="100" w:afterLines="0"/>
        <w:jc w:val="center"/>
        <w:rPr>
          <w:rFonts w:hint="eastAsia" w:ascii="宋体" w:hAnsi="宋体"/>
          <w:sz w:val="24"/>
          <w:szCs w:val="24"/>
          <w:lang w:val="zh-CN"/>
        </w:rPr>
      </w:pPr>
    </w:p>
    <w:p w14:paraId="5B7AD542">
      <w:pPr>
        <w:spacing w:before="100" w:beforeLines="0" w:after="100" w:afterLines="0"/>
        <w:jc w:val="center"/>
        <w:rPr>
          <w:rFonts w:hint="eastAsia" w:ascii="宋体" w:hAnsi="宋体"/>
          <w:sz w:val="24"/>
          <w:szCs w:val="24"/>
          <w:lang w:val="zh-CN"/>
        </w:rPr>
      </w:pPr>
    </w:p>
    <w:p w14:paraId="74C1FFC6">
      <w:pPr>
        <w:spacing w:before="100" w:beforeLines="0" w:after="100" w:afterLines="0"/>
        <w:jc w:val="center"/>
        <w:rPr>
          <w:rFonts w:hint="eastAsia" w:ascii="宋体" w:hAnsi="宋体"/>
          <w:sz w:val="24"/>
          <w:szCs w:val="24"/>
          <w:lang w:val="zh-CN"/>
        </w:rPr>
      </w:pPr>
    </w:p>
    <w:p w14:paraId="0F7452AB">
      <w:pPr>
        <w:spacing w:before="100" w:beforeLines="0" w:after="100" w:afterLines="0"/>
        <w:jc w:val="center"/>
        <w:rPr>
          <w:rFonts w:hint="eastAsia" w:ascii="宋体" w:hAnsi="宋体"/>
          <w:sz w:val="24"/>
          <w:szCs w:val="24"/>
          <w:lang w:val="zh-CN"/>
        </w:rPr>
      </w:pPr>
    </w:p>
    <w:p w14:paraId="293714EA">
      <w:pPr>
        <w:spacing w:before="100" w:beforeLines="0" w:after="100" w:afterLines="0"/>
        <w:jc w:val="center"/>
        <w:rPr>
          <w:rFonts w:hint="eastAsia" w:ascii="宋体" w:hAnsi="宋体"/>
          <w:sz w:val="24"/>
          <w:szCs w:val="24"/>
          <w:lang w:val="zh-CN"/>
        </w:rPr>
      </w:pPr>
    </w:p>
    <w:p w14:paraId="147AF004">
      <w:pPr>
        <w:spacing w:before="100" w:beforeLines="0" w:after="100" w:afterLines="0"/>
        <w:jc w:val="center"/>
        <w:rPr>
          <w:rFonts w:hint="eastAsia" w:ascii="宋体" w:hAnsi="宋体"/>
          <w:sz w:val="24"/>
          <w:szCs w:val="24"/>
          <w:lang w:val="zh-CN"/>
        </w:rPr>
      </w:pPr>
    </w:p>
    <w:p w14:paraId="7F7CD5B4">
      <w:pPr>
        <w:spacing w:before="100" w:beforeLines="0" w:after="100" w:afterLines="0"/>
        <w:jc w:val="center"/>
        <w:rPr>
          <w:rFonts w:hint="eastAsia" w:ascii="宋体" w:hAnsi="宋体"/>
          <w:sz w:val="24"/>
          <w:szCs w:val="24"/>
          <w:lang w:val="zh-CN"/>
        </w:rPr>
      </w:pPr>
    </w:p>
    <w:p w14:paraId="1703949F">
      <w:pPr>
        <w:spacing w:before="100" w:beforeLines="0" w:after="100" w:afterLines="0"/>
        <w:jc w:val="center"/>
        <w:rPr>
          <w:rFonts w:hint="eastAsia" w:ascii="宋体" w:hAnsi="宋体"/>
          <w:sz w:val="24"/>
          <w:szCs w:val="24"/>
          <w:lang w:val="zh-CN"/>
        </w:rPr>
      </w:pPr>
    </w:p>
    <w:p w14:paraId="2A913BED">
      <w:pPr>
        <w:spacing w:before="100" w:beforeLines="0" w:after="100" w:afterLines="0"/>
        <w:jc w:val="center"/>
        <w:rPr>
          <w:rFonts w:hint="eastAsia" w:ascii="宋体" w:hAnsi="宋体"/>
          <w:sz w:val="24"/>
          <w:szCs w:val="24"/>
          <w:lang w:val="zh-CN"/>
        </w:rPr>
      </w:pPr>
    </w:p>
    <w:p w14:paraId="46C845D5">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516C76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36C3147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F1EAAB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D923DA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31DAC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2DA624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0FEDFD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5B9511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D3722E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38DC1B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36985C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5455A00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18823F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AC6B2A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DF3CC2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03A16A4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3096C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4BFECAC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9E57E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4589C04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CEF162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5E68B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636A09A7">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C8733C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1398A02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5B368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21E64F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B034B9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168BF1E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67D9B81B">
      <w:pPr>
        <w:spacing w:before="100" w:beforeLines="0" w:after="100" w:afterLines="0"/>
        <w:jc w:val="center"/>
        <w:rPr>
          <w:rFonts w:hint="eastAsia" w:ascii="宋体" w:hAnsi="宋体"/>
          <w:sz w:val="24"/>
          <w:szCs w:val="24"/>
          <w:lang w:val="zh-CN"/>
        </w:rPr>
      </w:pPr>
    </w:p>
    <w:p w14:paraId="359CB01B">
      <w:pPr>
        <w:spacing w:before="100" w:beforeLines="0" w:after="100" w:afterLines="0"/>
        <w:jc w:val="center"/>
        <w:rPr>
          <w:rFonts w:hint="eastAsia" w:ascii="宋体" w:hAnsi="宋体"/>
          <w:sz w:val="24"/>
          <w:szCs w:val="24"/>
          <w:lang w:val="zh-CN"/>
        </w:rPr>
      </w:pPr>
    </w:p>
    <w:p w14:paraId="7DD13874">
      <w:pPr>
        <w:spacing w:before="100" w:beforeLines="0" w:after="100" w:afterLines="0"/>
        <w:jc w:val="center"/>
        <w:rPr>
          <w:rFonts w:hint="eastAsia" w:ascii="宋体" w:hAnsi="宋体"/>
          <w:sz w:val="24"/>
          <w:szCs w:val="24"/>
          <w:lang w:val="zh-CN"/>
        </w:rPr>
      </w:pPr>
    </w:p>
    <w:p w14:paraId="0877F262">
      <w:pPr>
        <w:spacing w:before="100" w:beforeLines="0" w:after="100" w:afterLines="0"/>
        <w:jc w:val="center"/>
        <w:rPr>
          <w:rFonts w:hint="eastAsia" w:ascii="宋体" w:hAnsi="宋体"/>
          <w:sz w:val="24"/>
          <w:szCs w:val="24"/>
          <w:lang w:val="zh-CN"/>
        </w:rPr>
      </w:pPr>
    </w:p>
    <w:p w14:paraId="46149B61">
      <w:pPr>
        <w:spacing w:before="100" w:beforeLines="0" w:after="100" w:afterLines="0"/>
        <w:jc w:val="center"/>
        <w:rPr>
          <w:rFonts w:hint="eastAsia" w:ascii="宋体" w:hAnsi="宋体"/>
          <w:sz w:val="24"/>
          <w:szCs w:val="24"/>
          <w:lang w:val="zh-CN"/>
        </w:rPr>
      </w:pPr>
    </w:p>
    <w:p w14:paraId="0F03A500">
      <w:pPr>
        <w:spacing w:before="100" w:beforeLines="0" w:after="100" w:afterLines="0"/>
        <w:jc w:val="center"/>
        <w:rPr>
          <w:rFonts w:hint="eastAsia" w:ascii="宋体" w:hAnsi="宋体"/>
          <w:sz w:val="24"/>
          <w:szCs w:val="24"/>
          <w:lang w:val="zh-CN"/>
        </w:rPr>
      </w:pPr>
    </w:p>
    <w:p w14:paraId="695F9A6C">
      <w:pPr>
        <w:spacing w:before="100" w:beforeLines="0" w:after="100" w:afterLines="0"/>
        <w:jc w:val="center"/>
        <w:rPr>
          <w:rFonts w:hint="eastAsia" w:ascii="宋体" w:hAnsi="宋体"/>
          <w:sz w:val="24"/>
          <w:szCs w:val="24"/>
          <w:lang w:val="zh-CN"/>
        </w:rPr>
      </w:pPr>
    </w:p>
    <w:p w14:paraId="374AA72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7F010D1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31ADAA3">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bottom"/>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县委办公室贯彻落实党中央和省州及县委关于党委办公部门工作的方针政策和决策部署，在履行职责过程中坚持和加强党对党办工作的集中统一领导。主要职责：</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围绕全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工作大局，按照</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的工作部署以及</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领导的要求开展工作。负责党的路线、方针、政策以及省、州、</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的决策、决定、工作部署贯彻落实的督促检查，调查研究，信息收集反馈，重要情况的综合协调工作。</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县党代会、县委全体会议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常委会</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县委常委会扩大会议、书记办公会、四大班子联席会议、县委理论</w:t>
      </w:r>
      <w:r>
        <w:rPr>
          <w:rFonts w:hint="eastAsia" w:ascii="仿宋_GB2312" w:hAnsi="仿宋_GB2312" w:eastAsia="仿宋_GB2312" w:cs="仿宋_GB2312"/>
          <w:color w:val="auto"/>
          <w:sz w:val="32"/>
          <w:szCs w:val="32"/>
        </w:rPr>
        <w:t>中心组学习会议和</w:t>
      </w:r>
      <w:r>
        <w:rPr>
          <w:rFonts w:hint="eastAsia" w:ascii="仿宋_GB2312" w:hAnsi="仿宋_GB2312" w:eastAsia="仿宋_GB2312" w:cs="仿宋_GB2312"/>
          <w:color w:val="auto"/>
          <w:sz w:val="32"/>
          <w:szCs w:val="32"/>
          <w:lang w:eastAsia="zh-CN"/>
        </w:rPr>
        <w:t>县委其他</w:t>
      </w:r>
      <w:r>
        <w:rPr>
          <w:rFonts w:hint="eastAsia" w:ascii="仿宋_GB2312" w:hAnsi="仿宋_GB2312" w:eastAsia="仿宋_GB2312" w:cs="仿宋_GB2312"/>
          <w:color w:val="auto"/>
          <w:sz w:val="32"/>
          <w:szCs w:val="32"/>
        </w:rPr>
        <w:t>重要工作会议及有关活动的准备和组织协调</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工作；负责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领导日常公务活动的</w:t>
      </w:r>
      <w:r>
        <w:rPr>
          <w:rFonts w:hint="eastAsia" w:ascii="仿宋_GB2312" w:hAnsi="仿宋_GB2312" w:eastAsia="仿宋_GB2312" w:cs="仿宋_GB2312"/>
          <w:color w:val="auto"/>
          <w:sz w:val="32"/>
          <w:szCs w:val="32"/>
          <w:lang w:eastAsia="zh-CN"/>
        </w:rPr>
        <w:t>协调</w:t>
      </w:r>
      <w:r>
        <w:rPr>
          <w:rFonts w:hint="eastAsia" w:ascii="仿宋_GB2312" w:hAnsi="仿宋_GB2312" w:eastAsia="仿宋_GB2312" w:cs="仿宋_GB2312"/>
          <w:color w:val="auto"/>
          <w:sz w:val="32"/>
          <w:szCs w:val="32"/>
        </w:rPr>
        <w:t>服务和</w:t>
      </w:r>
      <w:r>
        <w:rPr>
          <w:rFonts w:hint="eastAsia" w:ascii="仿宋_GB2312" w:hAnsi="仿宋_GB2312" w:eastAsia="仿宋_GB2312" w:cs="仿宋_GB2312"/>
          <w:color w:val="auto"/>
          <w:sz w:val="32"/>
          <w:szCs w:val="32"/>
          <w:lang w:eastAsia="zh-CN"/>
        </w:rPr>
        <w:t>统筹</w:t>
      </w:r>
      <w:r>
        <w:rPr>
          <w:rFonts w:hint="eastAsia" w:ascii="仿宋_GB2312" w:hAnsi="仿宋_GB2312" w:eastAsia="仿宋_GB2312" w:cs="仿宋_GB2312"/>
          <w:color w:val="auto"/>
          <w:sz w:val="32"/>
          <w:szCs w:val="32"/>
        </w:rPr>
        <w:t>安排；负责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有关领导指示的传达和办理；负责做好与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人大办公室、</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政府办公室、</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政协办公室及党群口部门的有关协调工作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工作部署，对涉及全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经济建设、社会发展、党的自身建设等全局性的重大问题进行调查研究，为</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科学决策提出建议、预案和依据；围绕</w:t>
      </w:r>
      <w:r>
        <w:rPr>
          <w:rFonts w:hint="eastAsia" w:ascii="仿宋_GB2312" w:hAnsi="仿宋_GB2312" w:eastAsia="仿宋_GB2312" w:cs="仿宋_GB2312"/>
          <w:color w:val="auto"/>
          <w:sz w:val="32"/>
          <w:szCs w:val="32"/>
          <w:lang w:eastAsia="zh-CN"/>
        </w:rPr>
        <w:t>中央、省委、州委决策部署和县委工作安排落实情况开展督促检查；对</w:t>
      </w:r>
      <w:r>
        <w:rPr>
          <w:rFonts w:hint="eastAsia" w:ascii="仿宋_GB2312" w:hAnsi="仿宋_GB2312" w:eastAsia="仿宋_GB2312" w:cs="仿宋_GB2312"/>
          <w:color w:val="auto"/>
          <w:sz w:val="32"/>
          <w:szCs w:val="32"/>
        </w:rPr>
        <w:t>改革发展稳定中的突出问题和人民群众</w:t>
      </w:r>
      <w:r>
        <w:rPr>
          <w:rFonts w:hint="eastAsia" w:ascii="仿宋_GB2312" w:hAnsi="仿宋_GB2312" w:eastAsia="仿宋_GB2312" w:cs="仿宋_GB2312"/>
          <w:color w:val="auto"/>
          <w:sz w:val="32"/>
          <w:szCs w:val="32"/>
          <w:lang w:eastAsia="zh-CN"/>
        </w:rPr>
        <w:t>、新闻媒体</w:t>
      </w:r>
      <w:r>
        <w:rPr>
          <w:rFonts w:hint="eastAsia" w:ascii="仿宋_GB2312" w:hAnsi="仿宋_GB2312" w:eastAsia="仿宋_GB2312" w:cs="仿宋_GB2312"/>
          <w:color w:val="auto"/>
          <w:sz w:val="32"/>
          <w:szCs w:val="32"/>
        </w:rPr>
        <w:t>关注的热点、难点问题的解决</w:t>
      </w:r>
      <w:r>
        <w:rPr>
          <w:rFonts w:hint="eastAsia" w:ascii="仿宋_GB2312" w:hAnsi="仿宋_GB2312" w:eastAsia="仿宋_GB2312" w:cs="仿宋_GB2312"/>
          <w:color w:val="auto"/>
          <w:sz w:val="32"/>
          <w:szCs w:val="32"/>
          <w:lang w:eastAsia="zh-CN"/>
        </w:rPr>
        <w:t>以及人大代表、政协委员有关建议、提案的办理</w:t>
      </w:r>
      <w:r>
        <w:rPr>
          <w:rFonts w:hint="eastAsia" w:ascii="仿宋_GB2312" w:hAnsi="仿宋_GB2312" w:eastAsia="仿宋_GB2312" w:cs="仿宋_GB2312"/>
          <w:color w:val="auto"/>
          <w:sz w:val="32"/>
          <w:szCs w:val="32"/>
        </w:rPr>
        <w:t>进行督促检查；对上级党委和</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领导重要指示、批示、批件和交办事项进行专项督查。</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rPr>
        <w:t>负责组织起草、审核</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办公室文件、报告和</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领导讲话稿；承办各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镇和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直各部门、各单位向</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的请示、报告。</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机关文件、电报、信函的传递和保密工作及其日常</w:t>
      </w:r>
      <w:r>
        <w:rPr>
          <w:rFonts w:hint="eastAsia" w:ascii="仿宋_GB2312" w:hAnsi="仿宋_GB2312" w:eastAsia="仿宋_GB2312" w:cs="仿宋_GB2312"/>
          <w:color w:val="auto"/>
          <w:sz w:val="32"/>
          <w:szCs w:val="32"/>
          <w:lang w:eastAsia="zh-CN"/>
        </w:rPr>
        <w:t>公文</w:t>
      </w:r>
      <w:r>
        <w:rPr>
          <w:rFonts w:hint="eastAsia" w:ascii="仿宋_GB2312" w:hAnsi="仿宋_GB2312" w:eastAsia="仿宋_GB2312" w:cs="仿宋_GB2312"/>
          <w:color w:val="auto"/>
          <w:sz w:val="32"/>
          <w:szCs w:val="32"/>
        </w:rPr>
        <w:t>处理；负责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常委文件传阅及请示文件的办理；承担省、州和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级党政机关的文件交换、传递工作；负责文件、刊物、资料的收发、上网、清退和销毁工作。</w:t>
      </w:r>
      <w:r>
        <w:rPr>
          <w:rFonts w:hint="eastAsia" w:ascii="仿宋_GB2312" w:hAnsi="仿宋_GB2312" w:eastAsia="仿宋_GB2312" w:cs="仿宋_GB2312"/>
          <w:b/>
          <w:bCs/>
          <w:color w:val="auto"/>
          <w:sz w:val="32"/>
          <w:szCs w:val="32"/>
          <w:lang w:eastAsia="zh-CN"/>
        </w:rPr>
        <w:t>六是</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机关除人事档案以外的其他档案的收集、整理、立卷归档、管理、使用和移交工作</w:t>
      </w:r>
      <w:r>
        <w:rPr>
          <w:rFonts w:hint="eastAsia" w:ascii="仿宋_GB2312" w:hAnsi="仿宋_GB2312" w:eastAsia="仿宋_GB2312" w:cs="仿宋_GB2312"/>
          <w:color w:val="auto"/>
          <w:sz w:val="32"/>
          <w:szCs w:val="32"/>
          <w:lang w:eastAsia="zh-CN"/>
        </w:rPr>
        <w:t>；负责对有关出卖、转让、赠送保密档案的事宜进行审核审批；负责对使用档案馆保存的未开放档案有关事宜进行审核审批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七是</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值班工作，及时向</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领导报告重要情况，协助处理各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直各部门、各单位向</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反映的重要问题。</w:t>
      </w:r>
      <w:r>
        <w:rPr>
          <w:rFonts w:hint="eastAsia" w:ascii="仿宋_GB2312" w:hAnsi="仿宋_GB2312" w:eastAsia="仿宋_GB2312" w:cs="仿宋_GB2312"/>
          <w:b/>
          <w:bCs/>
          <w:color w:val="auto"/>
          <w:sz w:val="32"/>
          <w:szCs w:val="32"/>
          <w:lang w:eastAsia="zh-CN"/>
        </w:rPr>
        <w:t>八是</w:t>
      </w:r>
      <w:r>
        <w:rPr>
          <w:rFonts w:hint="eastAsia" w:ascii="仿宋_GB2312" w:hAnsi="仿宋_GB2312" w:eastAsia="仿宋_GB2312" w:cs="仿宋_GB2312"/>
          <w:color w:val="auto"/>
          <w:sz w:val="32"/>
          <w:szCs w:val="32"/>
        </w:rPr>
        <w:t>负责全县密码通信工作，传发密码电报，为党政领导提供文件、语音、视频密码服务，确保县委领导在任何时候、任何地方、任何情况下政令畅通；负责全县密码管理工作，制定密码工作的发展规划和相关制度，对下级密码部门实施业务指导、装备使用和密码管理；利用密码和密码技术保障网络和信息安全，实施信息化密码保障基础设施工程，推进密码技术在网络与信息系统中的应用，为信息化建设提供信息安全支撑。</w:t>
      </w:r>
      <w:r>
        <w:rPr>
          <w:rFonts w:hint="eastAsia" w:ascii="仿宋_GB2312" w:hAnsi="仿宋_GB2312" w:eastAsia="仿宋_GB2312" w:cs="仿宋_GB2312"/>
          <w:b/>
          <w:bCs/>
          <w:color w:val="auto"/>
          <w:sz w:val="32"/>
          <w:szCs w:val="32"/>
          <w:lang w:eastAsia="zh-CN"/>
        </w:rPr>
        <w:t>九是</w:t>
      </w:r>
      <w:r>
        <w:rPr>
          <w:rFonts w:hint="eastAsia" w:ascii="仿宋_GB2312" w:hAnsi="仿宋_GB2312" w:eastAsia="仿宋_GB2312" w:cs="仿宋_GB2312"/>
          <w:color w:val="auto"/>
          <w:sz w:val="32"/>
          <w:szCs w:val="32"/>
          <w:lang w:eastAsia="zh-CN"/>
        </w:rPr>
        <w:t>贯彻执行《保密法》和有关保密工作的方针、政策，承办县保密委员会日常工作，依法履行保密行政管理职能，组织保密安全监督检查和保密人员的培训工作，组织或参与查处泄密文件及采取补救措施，处理涉外保密事务，承担全县各类文件的收集和销毁工作；</w:t>
      </w:r>
      <w:r>
        <w:rPr>
          <w:rFonts w:hint="eastAsia" w:ascii="仿宋_GB2312" w:hAnsi="仿宋_GB2312" w:eastAsia="仿宋_GB2312" w:cs="仿宋_GB2312"/>
          <w:color w:val="auto"/>
          <w:sz w:val="32"/>
          <w:szCs w:val="32"/>
        </w:rPr>
        <w:t>负责全县保密工作的宣传教育、指导协调、监督管理和泄密案件查处工作。</w:t>
      </w:r>
      <w:r>
        <w:rPr>
          <w:rFonts w:hint="eastAsia" w:ascii="仿宋_GB2312" w:hAnsi="仿宋_GB2312" w:eastAsia="仿宋_GB2312" w:cs="仿宋_GB2312"/>
          <w:b/>
          <w:bCs/>
          <w:color w:val="auto"/>
          <w:sz w:val="32"/>
          <w:szCs w:val="32"/>
          <w:lang w:eastAsia="zh-CN"/>
        </w:rPr>
        <w:t>十是</w:t>
      </w:r>
      <w:r>
        <w:rPr>
          <w:rFonts w:hint="eastAsia" w:ascii="仿宋_GB2312" w:hAnsi="仿宋_GB2312" w:eastAsia="仿宋_GB2312" w:cs="仿宋_GB2312"/>
          <w:color w:val="auto"/>
          <w:sz w:val="32"/>
          <w:szCs w:val="32"/>
          <w:lang w:val="en-US" w:eastAsia="zh-CN"/>
        </w:rPr>
        <w:t>承担县委国家安全委员会具体工作，组织开展全县国家安全方面重大问题的政策研究，协调督促有关方面落实县委国家安全委员会决定事项、工作部署和要求等。</w:t>
      </w:r>
      <w:r>
        <w:rPr>
          <w:rFonts w:hint="eastAsia" w:ascii="仿宋_GB2312" w:hAnsi="仿宋_GB2312" w:eastAsia="仿宋_GB2312" w:cs="仿宋_GB2312"/>
          <w:b/>
          <w:bCs/>
          <w:color w:val="auto"/>
          <w:sz w:val="32"/>
          <w:szCs w:val="32"/>
          <w:lang w:eastAsia="zh-CN"/>
        </w:rPr>
        <w:t>十一是</w:t>
      </w:r>
      <w:r>
        <w:rPr>
          <w:rFonts w:hint="eastAsia" w:ascii="仿宋_GB2312" w:hAnsi="仿宋_GB2312" w:eastAsia="仿宋_GB2312" w:cs="仿宋_GB2312"/>
          <w:color w:val="auto"/>
          <w:sz w:val="32"/>
          <w:szCs w:val="32"/>
        </w:rPr>
        <w:t>负责全县党委系统信息化建设的组织、实施、协调、管理工作，组织编制、修订、上报、实施党委系统信息化建设规划，并对党委系统信息化工作进行评价和考核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负责有关信息的搜集和综合处理，及时、准确、全面地向州委办公室</w:t>
      </w:r>
      <w:r>
        <w:rPr>
          <w:rFonts w:hint="eastAsia" w:ascii="仿宋_GB2312" w:hAnsi="仿宋_GB2312" w:eastAsia="仿宋_GB2312" w:cs="仿宋_GB2312"/>
          <w:color w:val="auto"/>
          <w:sz w:val="32"/>
          <w:szCs w:val="32"/>
          <w:lang w:eastAsia="zh-CN"/>
        </w:rPr>
        <w:t>、省委办公厅</w:t>
      </w:r>
      <w:r>
        <w:rPr>
          <w:rFonts w:hint="eastAsia" w:ascii="仿宋_GB2312" w:hAnsi="仿宋_GB2312" w:eastAsia="仿宋_GB2312" w:cs="仿宋_GB2312"/>
          <w:color w:val="auto"/>
          <w:sz w:val="32"/>
          <w:szCs w:val="32"/>
        </w:rPr>
        <w:t>报送信息，反映有关动态；负责组织指导全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党委信息网络工作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十二是</w:t>
      </w:r>
      <w:r>
        <w:rPr>
          <w:rFonts w:hint="eastAsia" w:ascii="仿宋_GB2312" w:hAnsi="仿宋_GB2312" w:eastAsia="仿宋_GB2312" w:cs="仿宋_GB2312"/>
          <w:color w:val="auto"/>
          <w:sz w:val="32"/>
          <w:szCs w:val="32"/>
        </w:rPr>
        <w:t>负责做好省委、州委领导及其</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重要客人来我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视察、调研、参观的接待工作，并协调安全保卫工作；负责后勤服务管理的有关工作。</w:t>
      </w:r>
      <w:r>
        <w:rPr>
          <w:rFonts w:hint="eastAsia" w:ascii="仿宋_GB2312" w:hAnsi="仿宋_GB2312" w:eastAsia="仿宋_GB2312" w:cs="仿宋_GB2312"/>
          <w:b/>
          <w:bCs/>
          <w:color w:val="auto"/>
          <w:sz w:val="32"/>
          <w:szCs w:val="32"/>
          <w:lang w:eastAsia="zh-CN"/>
        </w:rPr>
        <w:t>十三是</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做好群众的来信来访工作</w:t>
      </w:r>
      <w:r>
        <w:rPr>
          <w:rFonts w:hint="eastAsia" w:ascii="仿宋_GB2312" w:hAnsi="仿宋_GB2312" w:eastAsia="仿宋_GB2312" w:cs="仿宋_GB2312"/>
          <w:color w:val="auto"/>
          <w:sz w:val="32"/>
          <w:szCs w:val="32"/>
          <w:lang w:eastAsia="zh-CN"/>
        </w:rPr>
        <w:t>，负责县委领导有关信访案件的批转、交办和处理工作；负责上级党委部门批转信访案件的组织交办、跟踪督办和结果上报工作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十四是</w:t>
      </w:r>
      <w:r>
        <w:rPr>
          <w:rFonts w:hint="eastAsia" w:ascii="仿宋_GB2312" w:hAnsi="仿宋_GB2312" w:eastAsia="仿宋_GB2312" w:cs="仿宋_GB2312"/>
          <w:color w:val="auto"/>
          <w:sz w:val="32"/>
          <w:szCs w:val="32"/>
        </w:rPr>
        <w:t>负责县委机关的精神文明建设和综合治理工作。负责</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办公室党建、党风廉政建设、干部队伍建设、财务</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保障等有关</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负责对全县党委系统办公室的业务指导和协调管理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负责开展政策研究工作，收集和整理编纂党史资料工作。</w:t>
      </w:r>
      <w:r>
        <w:rPr>
          <w:rFonts w:hint="eastAsia" w:ascii="仿宋_GB2312" w:hAnsi="仿宋_GB2312" w:eastAsia="仿宋_GB2312" w:cs="仿宋_GB2312"/>
          <w:b/>
          <w:bCs/>
          <w:color w:val="auto"/>
          <w:sz w:val="32"/>
          <w:szCs w:val="32"/>
          <w:lang w:eastAsia="zh-CN"/>
        </w:rPr>
        <w:t>十五是</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领导交办的其他事项。</w:t>
      </w:r>
    </w:p>
    <w:p w14:paraId="6BFC559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7E4599CE">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bottom"/>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属财政全额拨款预算单位，是独立的核算机构</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设</w:t>
      </w:r>
      <w:r>
        <w:rPr>
          <w:rFonts w:hint="eastAsia" w:ascii="仿宋_GB2312" w:hAnsi="仿宋_GB2312" w:eastAsia="仿宋_GB2312" w:cs="仿宋_GB2312"/>
          <w:color w:val="auto"/>
          <w:sz w:val="32"/>
          <w:szCs w:val="32"/>
          <w:lang w:val="en-US" w:eastAsia="zh-CN"/>
        </w:rPr>
        <w:t>秘书室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综合办公室</w:t>
      </w:r>
      <w:r>
        <w:rPr>
          <w:rFonts w:hint="eastAsia" w:ascii="楷体_GB2312" w:hAnsi="楷体_GB2312" w:eastAsia="楷体_GB2312" w:cs="楷体_GB2312"/>
          <w:color w:val="auto"/>
          <w:sz w:val="32"/>
          <w:szCs w:val="32"/>
          <w:lang w:val="en-US" w:eastAsia="zh-CN"/>
        </w:rPr>
        <w:t>（县委财经办秘书股）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政策法规室</w:t>
      </w:r>
      <w:r>
        <w:rPr>
          <w:rFonts w:hint="eastAsia" w:ascii="楷体_GB2312" w:hAnsi="楷体_GB2312" w:eastAsia="楷体_GB2312" w:cs="楷体_GB2312"/>
          <w:color w:val="auto"/>
          <w:sz w:val="32"/>
          <w:szCs w:val="32"/>
          <w:lang w:val="en-US" w:eastAsia="zh-CN"/>
        </w:rPr>
        <w:t>（县委深改办秘书股）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督查室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党史研究室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信息室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机要保密室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文档室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财务室、国家安全综合协调股</w:t>
      </w:r>
      <w:r>
        <w:rPr>
          <w:rFonts w:hint="eastAsia" w:ascii="仿宋_GB2312" w:hAnsi="仿宋_GB2312" w:eastAsia="仿宋_GB2312" w:cs="仿宋_GB2312"/>
          <w:color w:val="auto"/>
          <w:sz w:val="32"/>
          <w:szCs w:val="32"/>
        </w:rPr>
        <w:t>，单位实行行政单位会计制度</w:t>
      </w:r>
      <w:r>
        <w:rPr>
          <w:rFonts w:hint="eastAsia" w:ascii="仿宋_GB2312" w:hAnsi="仿宋_GB2312" w:eastAsia="仿宋_GB2312" w:cs="仿宋_GB2312"/>
          <w:color w:val="auto"/>
          <w:sz w:val="32"/>
          <w:szCs w:val="32"/>
          <w:lang w:eastAsia="zh-CN"/>
        </w:rPr>
        <w:t>。</w:t>
      </w:r>
    </w:p>
    <w:p w14:paraId="34D88061">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4A82CBA">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31D63E95">
      <w:pPr>
        <w:pStyle w:val="2"/>
        <w:numPr>
          <w:ilvl w:val="0"/>
          <w:numId w:val="0"/>
        </w:numPr>
        <w:rPr>
          <w:rFonts w:hint="eastAsia"/>
          <w:lang w:val="zh-CN"/>
        </w:rPr>
      </w:pPr>
      <w:r>
        <w:rPr>
          <w:rFonts w:hint="eastAsia"/>
          <w:lang w:val="zh-CN"/>
        </w:rPr>
        <w:drawing>
          <wp:inline distT="0" distB="0" distL="114300" distR="114300">
            <wp:extent cx="5478780" cy="3834765"/>
            <wp:effectExtent l="0" t="0" r="7620" b="1333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tretch>
                      <a:fillRect/>
                    </a:stretch>
                  </pic:blipFill>
                  <pic:spPr>
                    <a:xfrm>
                      <a:off x="0" y="0"/>
                      <a:ext cx="5478780" cy="3834765"/>
                    </a:xfrm>
                    <a:prstGeom prst="rect">
                      <a:avLst/>
                    </a:prstGeom>
                  </pic:spPr>
                </pic:pic>
              </a:graphicData>
            </a:graphic>
          </wp:inline>
        </w:drawing>
      </w:r>
    </w:p>
    <w:p w14:paraId="50D741A8">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14:paraId="4658C74A">
      <w:pPr>
        <w:pStyle w:val="2"/>
        <w:numPr>
          <w:ilvl w:val="0"/>
          <w:numId w:val="0"/>
        </w:numPr>
        <w:ind w:leftChars="0"/>
        <w:rPr>
          <w:rFonts w:hint="eastAsia"/>
          <w:lang w:val="zh-CN"/>
        </w:rPr>
      </w:pPr>
      <w:r>
        <w:rPr>
          <w:rFonts w:hint="eastAsia"/>
          <w:lang w:val="zh-CN"/>
        </w:rPr>
        <w:drawing>
          <wp:inline distT="0" distB="0" distL="114300" distR="114300">
            <wp:extent cx="5475605" cy="1409065"/>
            <wp:effectExtent l="0" t="0" r="10795" b="635"/>
            <wp:docPr id="2"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
                    <pic:cNvPicPr>
                      <a:picLocks noChangeAspect="1"/>
                    </pic:cNvPicPr>
                  </pic:nvPicPr>
                  <pic:blipFill>
                    <a:blip r:embed="rId5"/>
                    <a:stretch>
                      <a:fillRect/>
                    </a:stretch>
                  </pic:blipFill>
                  <pic:spPr>
                    <a:xfrm>
                      <a:off x="0" y="0"/>
                      <a:ext cx="5475605" cy="1409065"/>
                    </a:xfrm>
                    <a:prstGeom prst="rect">
                      <a:avLst/>
                    </a:prstGeom>
                  </pic:spPr>
                </pic:pic>
              </a:graphicData>
            </a:graphic>
          </wp:inline>
        </w:drawing>
      </w:r>
    </w:p>
    <w:p w14:paraId="491F9233">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14:paraId="19F83E02">
      <w:pPr>
        <w:pStyle w:val="2"/>
        <w:numPr>
          <w:ilvl w:val="0"/>
          <w:numId w:val="0"/>
        </w:numPr>
        <w:ind w:leftChars="0"/>
        <w:rPr>
          <w:rFonts w:hint="eastAsia"/>
          <w:lang w:val="zh-CN"/>
        </w:rPr>
      </w:pPr>
      <w:r>
        <w:rPr>
          <w:rFonts w:hint="eastAsia"/>
          <w:lang w:val="zh-CN"/>
        </w:rPr>
        <w:drawing>
          <wp:inline distT="0" distB="0" distL="114300" distR="114300">
            <wp:extent cx="5477510" cy="1629410"/>
            <wp:effectExtent l="0" t="0" r="8890" b="8890"/>
            <wp:docPr id="3" name="图片 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
                    <pic:cNvPicPr>
                      <a:picLocks noChangeAspect="1"/>
                    </pic:cNvPicPr>
                  </pic:nvPicPr>
                  <pic:blipFill>
                    <a:blip r:embed="rId6"/>
                    <a:stretch>
                      <a:fillRect/>
                    </a:stretch>
                  </pic:blipFill>
                  <pic:spPr>
                    <a:xfrm>
                      <a:off x="0" y="0"/>
                      <a:ext cx="5477510" cy="1629410"/>
                    </a:xfrm>
                    <a:prstGeom prst="rect">
                      <a:avLst/>
                    </a:prstGeom>
                  </pic:spPr>
                </pic:pic>
              </a:graphicData>
            </a:graphic>
          </wp:inline>
        </w:drawing>
      </w:r>
    </w:p>
    <w:p w14:paraId="2C25959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14:paraId="431C3D4F">
      <w:pPr>
        <w:pStyle w:val="2"/>
        <w:numPr>
          <w:ilvl w:val="0"/>
          <w:numId w:val="0"/>
        </w:numPr>
        <w:ind w:leftChars="0"/>
        <w:rPr>
          <w:rFonts w:hint="eastAsia"/>
          <w:lang w:val="zh-CN"/>
        </w:rPr>
      </w:pPr>
      <w:r>
        <w:rPr>
          <w:rFonts w:hint="eastAsia"/>
          <w:lang w:val="zh-CN"/>
        </w:rPr>
        <w:drawing>
          <wp:inline distT="0" distB="0" distL="114300" distR="114300">
            <wp:extent cx="5478145" cy="3635375"/>
            <wp:effectExtent l="0" t="0" r="8255" b="3175"/>
            <wp:docPr id="4" name="图片 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
                    <pic:cNvPicPr>
                      <a:picLocks noChangeAspect="1"/>
                    </pic:cNvPicPr>
                  </pic:nvPicPr>
                  <pic:blipFill>
                    <a:blip r:embed="rId7"/>
                    <a:stretch>
                      <a:fillRect/>
                    </a:stretch>
                  </pic:blipFill>
                  <pic:spPr>
                    <a:xfrm>
                      <a:off x="0" y="0"/>
                      <a:ext cx="5478145" cy="3635375"/>
                    </a:xfrm>
                    <a:prstGeom prst="rect">
                      <a:avLst/>
                    </a:prstGeom>
                  </pic:spPr>
                </pic:pic>
              </a:graphicData>
            </a:graphic>
          </wp:inline>
        </w:drawing>
      </w:r>
    </w:p>
    <w:p w14:paraId="4C689F2B">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0FE2076C">
      <w:pPr>
        <w:pStyle w:val="2"/>
        <w:numPr>
          <w:ilvl w:val="0"/>
          <w:numId w:val="0"/>
        </w:numPr>
        <w:ind w:leftChars="0"/>
        <w:rPr>
          <w:rFonts w:hint="eastAsia"/>
          <w:lang w:val="zh-CN"/>
        </w:rPr>
      </w:pPr>
      <w:r>
        <w:rPr>
          <w:rFonts w:hint="eastAsia"/>
          <w:lang w:val="zh-CN"/>
        </w:rPr>
        <w:drawing>
          <wp:inline distT="0" distB="0" distL="114300" distR="114300">
            <wp:extent cx="5479415" cy="2256155"/>
            <wp:effectExtent l="0" t="0" r="6985" b="10795"/>
            <wp:docPr id="5" name="图片 5"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
                    <pic:cNvPicPr>
                      <a:picLocks noChangeAspect="1"/>
                    </pic:cNvPicPr>
                  </pic:nvPicPr>
                  <pic:blipFill>
                    <a:blip r:embed="rId8"/>
                    <a:stretch>
                      <a:fillRect/>
                    </a:stretch>
                  </pic:blipFill>
                  <pic:spPr>
                    <a:xfrm>
                      <a:off x="0" y="0"/>
                      <a:ext cx="5479415" cy="2256155"/>
                    </a:xfrm>
                    <a:prstGeom prst="rect">
                      <a:avLst/>
                    </a:prstGeom>
                  </pic:spPr>
                </pic:pic>
              </a:graphicData>
            </a:graphic>
          </wp:inline>
        </w:drawing>
      </w:r>
    </w:p>
    <w:p w14:paraId="1D86C27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084D3984">
      <w:pPr>
        <w:pStyle w:val="2"/>
        <w:numPr>
          <w:ilvl w:val="0"/>
          <w:numId w:val="0"/>
        </w:numPr>
        <w:ind w:leftChars="0"/>
        <w:rPr>
          <w:rFonts w:hint="eastAsia"/>
          <w:lang w:val="zh-CN"/>
        </w:rPr>
      </w:pPr>
      <w:r>
        <w:rPr>
          <w:rFonts w:hint="eastAsia"/>
          <w:lang w:val="zh-CN"/>
        </w:rPr>
        <w:drawing>
          <wp:inline distT="0" distB="0" distL="114300" distR="114300">
            <wp:extent cx="5484495" cy="2904490"/>
            <wp:effectExtent l="0" t="0" r="1905" b="10160"/>
            <wp:docPr id="6" name="图片 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6"/>
                    <pic:cNvPicPr>
                      <a:picLocks noChangeAspect="1"/>
                    </pic:cNvPicPr>
                  </pic:nvPicPr>
                  <pic:blipFill>
                    <a:blip r:embed="rId9"/>
                    <a:stretch>
                      <a:fillRect/>
                    </a:stretch>
                  </pic:blipFill>
                  <pic:spPr>
                    <a:xfrm>
                      <a:off x="0" y="0"/>
                      <a:ext cx="5484495" cy="2904490"/>
                    </a:xfrm>
                    <a:prstGeom prst="rect">
                      <a:avLst/>
                    </a:prstGeom>
                  </pic:spPr>
                </pic:pic>
              </a:graphicData>
            </a:graphic>
          </wp:inline>
        </w:drawing>
      </w:r>
    </w:p>
    <w:p w14:paraId="2A3ED9E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078824D8">
      <w:pPr>
        <w:pStyle w:val="2"/>
        <w:numPr>
          <w:ilvl w:val="0"/>
          <w:numId w:val="0"/>
        </w:numPr>
        <w:ind w:leftChars="0"/>
        <w:rPr>
          <w:rFonts w:hint="default" w:eastAsia="宋体"/>
          <w:lang w:val="en-US" w:eastAsia="zh-CN"/>
        </w:rPr>
      </w:pPr>
      <w:r>
        <w:rPr>
          <w:rFonts w:hint="eastAsia"/>
          <w:lang w:val="en-US" w:eastAsia="zh-CN"/>
        </w:rPr>
        <w:t xml:space="preserve">     本部门没有相关数据</w:t>
      </w:r>
    </w:p>
    <w:p w14:paraId="703170D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0C71E030">
      <w:pPr>
        <w:pStyle w:val="2"/>
        <w:numPr>
          <w:ilvl w:val="0"/>
          <w:numId w:val="0"/>
        </w:numPr>
        <w:ind w:leftChars="0" w:firstLine="420"/>
        <w:rPr>
          <w:rFonts w:hint="eastAsia"/>
          <w:lang w:val="en-US" w:eastAsia="zh-CN"/>
        </w:rPr>
      </w:pPr>
      <w:r>
        <w:rPr>
          <w:rFonts w:hint="eastAsia"/>
          <w:lang w:val="en-US" w:eastAsia="zh-CN"/>
        </w:rPr>
        <w:t>本部门没有相关数据</w:t>
      </w:r>
    </w:p>
    <w:p w14:paraId="33785D9B">
      <w:pPr>
        <w:pStyle w:val="2"/>
        <w:numPr>
          <w:ilvl w:val="0"/>
          <w:numId w:val="0"/>
        </w:numPr>
        <w:ind w:leftChars="0" w:firstLine="420"/>
        <w:rPr>
          <w:rFonts w:hint="eastAsia"/>
          <w:lang w:val="zh-CN" w:eastAsia="zh-CN"/>
        </w:rPr>
      </w:pPr>
      <w:r>
        <w:rPr>
          <w:rFonts w:hint="eastAsia"/>
          <w:lang w:val="zh-CN" w:eastAsia="zh-CN"/>
        </w:rPr>
        <w:drawing>
          <wp:inline distT="0" distB="0" distL="114300" distR="114300">
            <wp:extent cx="5482590" cy="1220470"/>
            <wp:effectExtent l="0" t="0" r="3810" b="17780"/>
            <wp:docPr id="7" name="图片 7"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7"/>
                    <pic:cNvPicPr>
                      <a:picLocks noChangeAspect="1"/>
                    </pic:cNvPicPr>
                  </pic:nvPicPr>
                  <pic:blipFill>
                    <a:blip r:embed="rId10"/>
                    <a:stretch>
                      <a:fillRect/>
                    </a:stretch>
                  </pic:blipFill>
                  <pic:spPr>
                    <a:xfrm>
                      <a:off x="0" y="0"/>
                      <a:ext cx="5482590" cy="1220470"/>
                    </a:xfrm>
                    <a:prstGeom prst="rect">
                      <a:avLst/>
                    </a:prstGeom>
                  </pic:spPr>
                </pic:pic>
              </a:graphicData>
            </a:graphic>
          </wp:inline>
        </w:drawing>
      </w:r>
    </w:p>
    <w:p w14:paraId="43EE6A9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0D48BB03">
      <w:pPr>
        <w:pStyle w:val="2"/>
        <w:numPr>
          <w:ilvl w:val="0"/>
          <w:numId w:val="0"/>
        </w:numPr>
        <w:ind w:leftChars="0"/>
        <w:rPr>
          <w:rFonts w:hint="eastAsia"/>
          <w:lang w:val="zh-CN"/>
        </w:rPr>
      </w:pPr>
      <w:r>
        <w:rPr>
          <w:rFonts w:hint="eastAsia"/>
          <w:lang w:val="zh-CN"/>
        </w:rPr>
        <w:drawing>
          <wp:inline distT="0" distB="0" distL="114300" distR="114300">
            <wp:extent cx="5485765" cy="748665"/>
            <wp:effectExtent l="0" t="0" r="635" b="13335"/>
            <wp:docPr id="8" name="图片 8"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8"/>
                    <pic:cNvPicPr>
                      <a:picLocks noChangeAspect="1"/>
                    </pic:cNvPicPr>
                  </pic:nvPicPr>
                  <pic:blipFill>
                    <a:blip r:embed="rId11"/>
                    <a:stretch>
                      <a:fillRect/>
                    </a:stretch>
                  </pic:blipFill>
                  <pic:spPr>
                    <a:xfrm>
                      <a:off x="0" y="0"/>
                      <a:ext cx="5485765" cy="748665"/>
                    </a:xfrm>
                    <a:prstGeom prst="rect">
                      <a:avLst/>
                    </a:prstGeom>
                  </pic:spPr>
                </pic:pic>
              </a:graphicData>
            </a:graphic>
          </wp:inline>
        </w:drawing>
      </w:r>
    </w:p>
    <w:p w14:paraId="1BAAEDDD">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2CCF571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6E17EC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927.03万元。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增加54.66万元,增长6.27%,</w:t>
      </w:r>
      <w:r>
        <w:rPr>
          <w:rFonts w:hint="eastAsia" w:ascii="宋体" w:hAnsi="宋体"/>
          <w:color w:val="FF0000"/>
          <w:sz w:val="24"/>
          <w:szCs w:val="24"/>
          <w:lang w:val="zh-CN"/>
        </w:rPr>
        <w:t>主要原因是年末有结转和结余,项目增加。</w:t>
      </w:r>
    </w:p>
    <w:p w14:paraId="2CA9F4B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6D13581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2023年度收入合计925.78万元,其中：财政拨款收入925.32万元,占99.95%；</w:t>
      </w:r>
      <w:r>
        <w:rPr>
          <w:rFonts w:hint="eastAsia" w:ascii="宋体" w:hAnsi="宋体"/>
          <w:color w:val="auto"/>
          <w:sz w:val="24"/>
          <w:szCs w:val="24"/>
          <w:lang w:val="en-US"/>
        </w:rPr>
        <w:t>其他</w:t>
      </w:r>
      <w:r>
        <w:rPr>
          <w:rFonts w:hint="eastAsia" w:ascii="宋体" w:hAnsi="宋体"/>
          <w:color w:val="auto"/>
          <w:sz w:val="24"/>
          <w:szCs w:val="24"/>
          <w:lang w:val="zh-CN"/>
        </w:rPr>
        <w:t>收入0.46万元,占0.05%；</w:t>
      </w:r>
    </w:p>
    <w:p w14:paraId="0063BD4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10AA553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2023年度支出合计925.32万元,其中：基本支出669.18万元,占72.32%；项目支出256.14万元,占27.68%；</w:t>
      </w:r>
    </w:p>
    <w:p w14:paraId="6B7129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C7C7410">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926.57万元。与</w:t>
      </w:r>
      <w:r>
        <w:rPr>
          <w:rFonts w:hint="eastAsia" w:ascii="宋体" w:hAnsi="宋体"/>
          <w:color w:val="auto"/>
          <w:sz w:val="24"/>
          <w:szCs w:val="24"/>
          <w:lang w:val="en-US"/>
        </w:rPr>
        <w:t>上</w:t>
      </w:r>
      <w:r>
        <w:rPr>
          <w:rFonts w:hint="eastAsia" w:ascii="宋体" w:hAnsi="宋体"/>
          <w:color w:val="auto"/>
          <w:sz w:val="24"/>
          <w:szCs w:val="24"/>
          <w:lang w:val="zh-CN"/>
        </w:rPr>
        <w:t>年相比,各增加54.2万元,增长6.21%。</w:t>
      </w:r>
      <w:r>
        <w:rPr>
          <w:rFonts w:hint="eastAsia" w:ascii="宋体" w:hAnsi="宋体"/>
          <w:color w:val="FF0000"/>
          <w:sz w:val="24"/>
          <w:szCs w:val="24"/>
          <w:lang w:val="zh-CN"/>
        </w:rPr>
        <w:t>主要原因是年末有结转和结余,项目增加。</w:t>
      </w:r>
      <w:r>
        <w:rPr>
          <w:rFonts w:hint="eastAsia" w:ascii="宋体" w:hAnsi="宋体"/>
          <w:b/>
          <w:bCs/>
          <w:color w:val="auto"/>
          <w:sz w:val="24"/>
          <w:szCs w:val="24"/>
          <w:lang w:val="zh-CN" w:eastAsia="zh-CN"/>
        </w:rPr>
        <w:t>五、一般公共预算财政拨款支出决算情况说明</w:t>
      </w:r>
    </w:p>
    <w:p w14:paraId="6164341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698FA8E7">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2023年度一般公共预算财政拨款支出925.32万元,较上年决算数增加54.2万元,增长6.22%。</w:t>
      </w:r>
      <w:r>
        <w:rPr>
          <w:rFonts w:hint="eastAsia" w:ascii="宋体" w:hAnsi="宋体"/>
          <w:color w:val="FF0000"/>
          <w:sz w:val="24"/>
          <w:szCs w:val="24"/>
          <w:lang w:val="zh-CN"/>
        </w:rPr>
        <w:t>主要原因是年末有结转和结余,项目增加。</w:t>
      </w:r>
    </w:p>
    <w:p w14:paraId="5E5A0477">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3FF8B74">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925.32万元，主要用于以下方面：一般公共服务支出780.37万元,占84.34%；社会保障和就业支出64.23万元,占6.94%；卫生健康支出22.84万元,占2.47%；农林水支出15.60万元,占1.69%；住房保障支出42.27万元,占4.57%。</w:t>
      </w:r>
    </w:p>
    <w:p w14:paraId="56DB6653">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5704AD6">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872.75万元,支出决算为925.32万元,完成年初预算的106.02%。其中：</w:t>
      </w:r>
    </w:p>
    <w:p w14:paraId="116A1E9E">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年初预算数为738.62万元,支出决算为780.37万元,完成年初预算的105.65%,决算数大于预算数的</w:t>
      </w:r>
      <w:r>
        <w:rPr>
          <w:rFonts w:hint="eastAsia" w:ascii="宋体" w:hAnsi="宋体"/>
          <w:color w:val="FF0000"/>
          <w:sz w:val="24"/>
          <w:szCs w:val="24"/>
          <w:lang w:val="zh-CN"/>
        </w:rPr>
        <w:t>主要原因是年末有结转和结余,项目增加。</w:t>
      </w:r>
    </w:p>
    <w:p w14:paraId="33B6F67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年初预算数为65.32万元,支出决算为64.23万元,完成年初预算的98.33%,决算数小于预算数的</w:t>
      </w:r>
      <w:r>
        <w:rPr>
          <w:rFonts w:hint="eastAsia" w:ascii="宋体" w:hAnsi="宋体"/>
          <w:color w:val="FF0000"/>
          <w:sz w:val="24"/>
          <w:szCs w:val="24"/>
          <w:lang w:val="zh-CN"/>
        </w:rPr>
        <w:t>主要原因是人员减少，相应社保缴费减少。</w:t>
      </w:r>
    </w:p>
    <w:p w14:paraId="6AA6052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年初预算数为24.56万元,支出决算为22.84万元,完成年初预算的93.0%,决算数小于预算数的</w:t>
      </w:r>
      <w:r>
        <w:rPr>
          <w:rFonts w:hint="eastAsia" w:ascii="宋体" w:hAnsi="宋体"/>
          <w:color w:val="FF0000"/>
          <w:sz w:val="24"/>
          <w:szCs w:val="24"/>
          <w:lang w:val="zh-CN"/>
        </w:rPr>
        <w:t>主要原因是人员减少，相应医保缴费减少。</w:t>
      </w:r>
    </w:p>
    <w:p w14:paraId="563BC19F">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年初预算数为0.00万元,支出决算为15.60万元,完成年初预算的%,决算数大于预算数的</w:t>
      </w:r>
      <w:r>
        <w:rPr>
          <w:rFonts w:hint="eastAsia" w:ascii="宋体" w:hAnsi="宋体"/>
          <w:color w:val="FF0000"/>
          <w:sz w:val="24"/>
          <w:szCs w:val="24"/>
          <w:lang w:val="zh-CN"/>
        </w:rPr>
        <w:t>主要原因是年初未进行预算。</w:t>
      </w:r>
    </w:p>
    <w:p w14:paraId="340D771D">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年初预算数为44.25万元,支出决算为42.27万元,完成年初预算的95.54%,决算数小于预算数的</w:t>
      </w:r>
      <w:r>
        <w:rPr>
          <w:rFonts w:hint="eastAsia" w:ascii="宋体" w:hAnsi="宋体"/>
          <w:color w:val="FF0000"/>
          <w:sz w:val="24"/>
          <w:szCs w:val="24"/>
          <w:lang w:val="zh-CN"/>
        </w:rPr>
        <w:t>主要原因是人员减少，相应住房公积金缴费较少。</w:t>
      </w:r>
    </w:p>
    <w:p w14:paraId="4D595E5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4E0EDE5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2023年度一般公共预算财政拨款基本支出669.18万元。其中：</w:t>
      </w:r>
    </w:p>
    <w:p w14:paraId="0F2A4BD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577.59万元,较上年决算数减少80.85万元,下降12.28%,</w:t>
      </w:r>
      <w:r>
        <w:rPr>
          <w:rFonts w:hint="eastAsia" w:ascii="宋体" w:hAnsi="宋体"/>
          <w:color w:val="FF0000"/>
          <w:sz w:val="24"/>
          <w:szCs w:val="24"/>
          <w:lang w:val="zh-CN"/>
        </w:rPr>
        <w:t>主要原因是是减少。</w:t>
      </w:r>
      <w:r>
        <w:rPr>
          <w:rFonts w:hint="eastAsia" w:ascii="宋体" w:hAnsi="宋体"/>
          <w:color w:val="auto"/>
          <w:sz w:val="24"/>
          <w:szCs w:val="24"/>
          <w:lang w:val="zh-CN"/>
        </w:rPr>
        <w:t>人员经费用途</w:t>
      </w:r>
      <w:r>
        <w:rPr>
          <w:rFonts w:hint="eastAsia" w:ascii="宋体" w:hAnsi="宋体"/>
          <w:color w:val="FF0000"/>
          <w:sz w:val="24"/>
          <w:szCs w:val="24"/>
          <w:lang w:val="zh-CN"/>
        </w:rPr>
        <w:t>基本工资、津贴补贴、奖金、社会保障缴费、差旅费。</w:t>
      </w:r>
    </w:p>
    <w:p w14:paraId="542182C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91.59万元,较上年决算数减少121.09万元,下降56.94%,</w:t>
      </w:r>
      <w:r>
        <w:rPr>
          <w:rFonts w:hint="eastAsia" w:ascii="宋体" w:hAnsi="宋体"/>
          <w:color w:val="FF0000"/>
          <w:sz w:val="24"/>
          <w:szCs w:val="24"/>
          <w:lang w:val="zh-CN"/>
        </w:rPr>
        <w:t>主要原因人员较少。</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主要包括办公费、印刷费、差旅费、电费。</w:t>
      </w:r>
    </w:p>
    <w:p w14:paraId="0D22B6F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1D14411D">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本部门2023年度无政府性基金收入,也没有使用政府性基金安排的支出。</w:t>
      </w:r>
    </w:p>
    <w:p w14:paraId="746430D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6BCB8BED">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14:paraId="67566A9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4E0EB02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830386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预算数为9.61万元,支出决算为9.61万元,决算数等于预算数。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增加3.22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增长50.37</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下乡增多，车辆油费增加和车辆维护费增加。</w:t>
      </w:r>
    </w:p>
    <w:p w14:paraId="7614D2F2">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E598A2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主要原因是无该项目费用,</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无该项目费用</w:t>
      </w:r>
      <w:r>
        <w:rPr>
          <w:rFonts w:hint="eastAsia" w:ascii="宋体" w:hAnsi="宋体"/>
          <w:color w:val="FF0000"/>
          <w:sz w:val="24"/>
          <w:szCs w:val="24"/>
          <w:lang w:val="zh-CN"/>
        </w:rPr>
        <w:t>。</w:t>
      </w:r>
    </w:p>
    <w:p w14:paraId="307E0BE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预算数为9.61万元,支出决算为9.61万元,决算数等于预算数。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增加3.22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增长50.37</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下乡增多，车辆油费增加和车辆维护费增加。</w:t>
      </w:r>
    </w:p>
    <w:p w14:paraId="5C3D05D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主要原因是无公车购置费,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无公务用车购置费</w:t>
      </w:r>
      <w:r>
        <w:rPr>
          <w:rFonts w:hint="eastAsia" w:ascii="宋体" w:hAnsi="宋体"/>
          <w:color w:val="FF0000"/>
          <w:sz w:val="24"/>
          <w:szCs w:val="24"/>
          <w:lang w:val="zh-CN"/>
        </w:rPr>
        <w:t>。</w:t>
      </w:r>
    </w:p>
    <w:p w14:paraId="4E1397D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预算数为9.61万元,支出决算为9.61万元,决算数等于预算数的，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增加3.22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增长50.37</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主要原因是主要原因是</w:t>
      </w:r>
      <w:r>
        <w:rPr>
          <w:rFonts w:hint="eastAsia" w:ascii="宋体" w:hAnsi="宋体"/>
          <w:color w:val="FF0000"/>
          <w:sz w:val="24"/>
          <w:szCs w:val="24"/>
          <w:lang w:val="en-US" w:eastAsia="zh-CN"/>
        </w:rPr>
        <w:t>下乡增多，车辆油费增加和车辆维护费增加。</w:t>
      </w:r>
    </w:p>
    <w:p w14:paraId="46557F78">
      <w:pPr>
        <w:numPr>
          <w:numId w:val="0"/>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主要原因是无公务接待费。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w:t>
      </w:r>
      <w:r>
        <w:rPr>
          <w:rFonts w:hint="eastAsia" w:ascii="宋体" w:hAnsi="宋体"/>
          <w:color w:val="FF0000"/>
          <w:sz w:val="24"/>
          <w:szCs w:val="24"/>
          <w:lang w:val="en-US" w:eastAsia="zh-CN"/>
        </w:rPr>
        <w:t>无公务接待费</w:t>
      </w:r>
      <w:r>
        <w:rPr>
          <w:rFonts w:hint="eastAsia" w:ascii="宋体" w:hAnsi="宋体"/>
          <w:color w:val="FF0000"/>
          <w:sz w:val="24"/>
          <w:szCs w:val="24"/>
          <w:lang w:val="zh-CN"/>
        </w:rPr>
        <w:t>。</w:t>
      </w:r>
    </w:p>
    <w:p w14:paraId="410F8722">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主要是无外事接待费支出</w:t>
      </w:r>
      <w:r>
        <w:rPr>
          <w:rFonts w:hint="eastAsia" w:ascii="宋体" w:hAnsi="宋体"/>
          <w:color w:val="FF0000"/>
          <w:sz w:val="24"/>
          <w:szCs w:val="24"/>
          <w:lang w:val="zh-CN"/>
        </w:rPr>
        <w:t>。</w:t>
      </w:r>
    </w:p>
    <w:p w14:paraId="4512B715">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其他国内公务接待支出</w:t>
      </w:r>
      <w:r>
        <w:rPr>
          <w:rFonts w:hint="eastAsia" w:ascii="宋体" w:hAnsi="宋体"/>
          <w:color w:val="FF0000"/>
          <w:sz w:val="24"/>
          <w:szCs w:val="24"/>
          <w:lang w:val="zh-CN"/>
        </w:rPr>
        <w:t>。</w:t>
      </w:r>
    </w:p>
    <w:p w14:paraId="3516ABBA">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0E40AEB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为3辆；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8EDA4D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2AAC389">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2023年度本部门机关运行经费支出91.59万元,机关运行经费</w:t>
      </w:r>
      <w:r>
        <w:rPr>
          <w:rFonts w:hint="eastAsia" w:ascii="宋体" w:hAnsi="宋体"/>
          <w:color w:val="FF0000"/>
          <w:sz w:val="24"/>
          <w:szCs w:val="24"/>
          <w:lang w:val="zh-CN"/>
        </w:rPr>
        <w:t>主要用于开支办公设施设备购置经费、资产运行维护支出、信息系统运行维护支出。</w:t>
      </w:r>
      <w:r>
        <w:rPr>
          <w:rFonts w:hint="eastAsia" w:ascii="宋体" w:hAnsi="宋体"/>
          <w:color w:val="auto"/>
          <w:sz w:val="24"/>
          <w:szCs w:val="24"/>
          <w:lang w:val="zh-CN"/>
        </w:rPr>
        <w:t>机关运行经费较上年决算数减少121.09万元,下降56.94%,</w:t>
      </w:r>
      <w:r>
        <w:rPr>
          <w:rFonts w:hint="eastAsia" w:ascii="宋体" w:hAnsi="宋体"/>
          <w:color w:val="FF0000"/>
          <w:sz w:val="24"/>
          <w:szCs w:val="24"/>
          <w:lang w:val="zh-CN"/>
        </w:rPr>
        <w:t>主要原因是办公设施设备购置经费减少、资产运行维护支出减少、信息系统运行维护支出减少、落实过紧日子要求等</w:t>
      </w:r>
    </w:p>
    <w:p w14:paraId="499FD2E2">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本年度会议费支出0.00万元,较上年决算数减少60.33万元,下降100.0%,</w:t>
      </w:r>
      <w:r>
        <w:rPr>
          <w:rFonts w:hint="eastAsia" w:ascii="宋体" w:hAnsi="宋体"/>
          <w:color w:val="FF0000"/>
          <w:sz w:val="24"/>
          <w:szCs w:val="24"/>
          <w:lang w:val="zh-CN"/>
        </w:rPr>
        <w:t>主要原因是未进行会议费预算。</w:t>
      </w:r>
      <w:r>
        <w:rPr>
          <w:rFonts w:hint="eastAsia" w:ascii="宋体" w:hAnsi="宋体"/>
          <w:color w:val="auto"/>
          <w:sz w:val="24"/>
          <w:szCs w:val="24"/>
          <w:lang w:val="zh-CN"/>
        </w:rPr>
        <w:t>本年度培训费支出0.00万元,较上年决算数减少0.0万元,下降%,</w:t>
      </w:r>
      <w:r>
        <w:rPr>
          <w:rFonts w:hint="eastAsia" w:ascii="宋体" w:hAnsi="宋体"/>
          <w:color w:val="FF0000"/>
          <w:sz w:val="24"/>
          <w:szCs w:val="24"/>
          <w:lang w:val="zh-CN"/>
        </w:rPr>
        <w:t>主要原因是未进行会议费用预算。</w:t>
      </w:r>
    </w:p>
    <w:p w14:paraId="4EEE334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F23773B">
      <w:pPr>
        <w:spacing w:before="100" w:beforeLines="0" w:after="100" w:afterLines="0"/>
        <w:ind w:firstLine="720" w:firstLineChars="300"/>
        <w:jc w:val="left"/>
        <w:rPr>
          <w:rFonts w:hint="eastAsia" w:ascii="宋体" w:hAnsi="宋体"/>
          <w:color w:val="FF0000"/>
          <w:sz w:val="24"/>
          <w:szCs w:val="24"/>
          <w:lang w:val="zh-CN"/>
        </w:rPr>
      </w:pPr>
      <w:r>
        <w:rPr>
          <w:rFonts w:hint="eastAsia" w:ascii="宋体" w:hAnsi="宋体"/>
          <w:color w:val="FF0000"/>
          <w:sz w:val="24"/>
          <w:szCs w:val="24"/>
          <w:lang w:val="zh-CN"/>
        </w:rPr>
        <w:t>我单位2023年度无政府采购相关经费。</w:t>
      </w:r>
    </w:p>
    <w:p w14:paraId="0F915E07">
      <w:pPr>
        <w:spacing w:before="100" w:beforeLines="0" w:after="100" w:afterLines="0"/>
        <w:jc w:val="left"/>
        <w:rPr>
          <w:rFonts w:hint="eastAsia" w:ascii="宋体" w:hAnsi="宋体"/>
          <w:color w:val="auto"/>
          <w:sz w:val="24"/>
          <w:szCs w:val="24"/>
          <w:lang w:val="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7650DABF">
      <w:pPr>
        <w:spacing w:before="100" w:beforeLines="0" w:after="100" w:afterLines="0"/>
        <w:ind w:firstLine="720" w:firstLineChars="3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3辆,其中,副部(省)级及以上领导用车辆、主要领导干部用车1辆、机要通信用车1辆、应急保障用车1辆、执法执勤用车辆,特种专业技术用车辆,离退休干部用车辆,其他用车0辆,单价100万元(含)以上设备</w:t>
      </w:r>
      <w:r>
        <w:rPr>
          <w:rFonts w:hint="eastAsia" w:ascii="宋体" w:hAnsi="宋体"/>
          <w:color w:val="auto"/>
          <w:sz w:val="24"/>
          <w:szCs w:val="24"/>
          <w:lang w:val="en-US" w:eastAsia="zh-CN"/>
        </w:rPr>
        <w:t>0</w:t>
      </w:r>
      <w:r>
        <w:rPr>
          <w:rFonts w:hint="eastAsia" w:ascii="宋体" w:hAnsi="宋体"/>
          <w:color w:val="auto"/>
          <w:sz w:val="24"/>
          <w:szCs w:val="24"/>
          <w:lang w:val="zh-CN"/>
        </w:rPr>
        <w:t>台(套)。</w:t>
      </w:r>
    </w:p>
    <w:p w14:paraId="3A27EC1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75FBE0C1">
      <w:pPr>
        <w:spacing w:before="100" w:beforeLines="0" w:after="100" w:afterLines="0"/>
        <w:ind w:firstLine="720" w:firstLineChars="3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63353E3E">
      <w:pPr>
        <w:spacing w:before="100" w:beforeLines="0" w:after="100" w:afterLines="0"/>
        <w:jc w:val="left"/>
        <w:rPr>
          <w:rFonts w:hint="eastAsia" w:ascii="宋体" w:hAnsi="宋体"/>
          <w:color w:val="FF0000"/>
          <w:sz w:val="24"/>
          <w:szCs w:val="24"/>
          <w:lang w:val="zh-CN"/>
        </w:rPr>
      </w:pPr>
    </w:p>
    <w:p w14:paraId="0E13F8CF">
      <w:pPr>
        <w:spacing w:before="100" w:beforeLines="0" w:after="100" w:afterLines="0"/>
        <w:jc w:val="left"/>
        <w:rPr>
          <w:rFonts w:hint="eastAsia" w:ascii="宋体" w:hAnsi="宋体"/>
          <w:color w:val="auto"/>
          <w:sz w:val="24"/>
          <w:szCs w:val="24"/>
          <w:lang w:val="zh-CN"/>
        </w:rPr>
      </w:pPr>
    </w:p>
    <w:p w14:paraId="78A35A88">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010BC7D">
      <w:pPr>
        <w:spacing w:before="100" w:beforeLines="0" w:after="100" w:afterLines="0"/>
        <w:ind w:firstLine="720" w:firstLineChars="300"/>
        <w:jc w:val="left"/>
        <w:rPr>
          <w:rFonts w:hint="eastAsia" w:ascii="宋体" w:hAnsi="宋体"/>
          <w:color w:val="auto"/>
          <w:sz w:val="24"/>
          <w:szCs w:val="24"/>
          <w:lang w:val="zh-CN"/>
        </w:rPr>
      </w:pPr>
      <w:r>
        <w:rPr>
          <w:rFonts w:hint="eastAsia" w:ascii="宋体" w:hAnsi="宋体"/>
          <w:color w:val="FF0000"/>
          <w:sz w:val="24"/>
          <w:szCs w:val="24"/>
          <w:lang w:val="zh-CN"/>
        </w:rPr>
        <w:t>本单位未开展预算绩效管理。</w:t>
      </w:r>
    </w:p>
    <w:p w14:paraId="7C5EE2FC">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39B8C8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35CDA34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3F67B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332E6D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0E67BB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3983EFA1">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6A2448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34894F1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D8E5BD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5DE7F69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17390D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0A001D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E589FB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EA695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71AD50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CA0126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22191797">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7FF397FB">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E04E91BC"/>
    <w:multiLevelType w:val="singleLevel"/>
    <w:tmpl w:val="E04E91BC"/>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TM3YzJiZjllMGFkOTIwNTdkMTkyOTM3Y2VkZGYifQ=="/>
  </w:docVars>
  <w:rsids>
    <w:rsidRoot w:val="00000000"/>
    <w:rsid w:val="02EB4148"/>
    <w:rsid w:val="08754913"/>
    <w:rsid w:val="0E367F50"/>
    <w:rsid w:val="11F272A1"/>
    <w:rsid w:val="121C60CC"/>
    <w:rsid w:val="139F6801"/>
    <w:rsid w:val="15196AB7"/>
    <w:rsid w:val="1594241D"/>
    <w:rsid w:val="176F2E6E"/>
    <w:rsid w:val="180E64B6"/>
    <w:rsid w:val="184F64AA"/>
    <w:rsid w:val="212A14EE"/>
    <w:rsid w:val="21F262FA"/>
    <w:rsid w:val="23BD6FE3"/>
    <w:rsid w:val="24341EB9"/>
    <w:rsid w:val="27251AAA"/>
    <w:rsid w:val="27A209C9"/>
    <w:rsid w:val="36107446"/>
    <w:rsid w:val="3C9A5CBB"/>
    <w:rsid w:val="402E6E46"/>
    <w:rsid w:val="460A133B"/>
    <w:rsid w:val="469C1E4C"/>
    <w:rsid w:val="4CD700C2"/>
    <w:rsid w:val="506A1275"/>
    <w:rsid w:val="50D15CF8"/>
    <w:rsid w:val="52397FF8"/>
    <w:rsid w:val="53503F1C"/>
    <w:rsid w:val="5B070568"/>
    <w:rsid w:val="5EDA221B"/>
    <w:rsid w:val="61DF60FE"/>
    <w:rsid w:val="62243329"/>
    <w:rsid w:val="62A21ED4"/>
    <w:rsid w:val="654523B9"/>
    <w:rsid w:val="67684FD9"/>
    <w:rsid w:val="68627445"/>
    <w:rsid w:val="68D93544"/>
    <w:rsid w:val="6CB00A5F"/>
    <w:rsid w:val="723F6B0D"/>
    <w:rsid w:val="73B057E9"/>
    <w:rsid w:val="73E94C19"/>
    <w:rsid w:val="76F33B29"/>
    <w:rsid w:val="773A78A3"/>
    <w:rsid w:val="7ED473F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line="480" w:lineRule="auto"/>
      <w:ind w:left="420" w:leftChars="200"/>
    </w:p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21d4ec0d-1937-484a-b99e-2d525d20c593}">
  <ds:schemaRefs/>
</ds:datastoreItem>
</file>

<file path=customXml/itemProps2.xml><?xml version="1.0" encoding="utf-8"?>
<ds:datastoreItem xmlns:ds="http://schemas.openxmlformats.org/officeDocument/2006/customXml" ds:itemID="{827f8aa6-a5d2-429b-9ced-57f7fa86b340}">
  <ds:schemaRefs/>
</ds:datastoreItem>
</file>

<file path=customXml/itemProps3.xml><?xml version="1.0" encoding="utf-8"?>
<ds:datastoreItem xmlns:ds="http://schemas.openxmlformats.org/officeDocument/2006/customXml" ds:itemID="{a6d0c224-6af4-4835-a5b5-61d1cad46043}">
  <ds:schemaRefs/>
</ds:datastoreItem>
</file>

<file path=customXml/itemProps4.xml><?xml version="1.0" encoding="utf-8"?>
<ds:datastoreItem xmlns:ds="http://schemas.openxmlformats.org/officeDocument/2006/customXml" ds:itemID="{f7fba609-951f-4fde-b63d-24c15411353f}">
  <ds:schemaRefs/>
</ds:datastoreItem>
</file>

<file path=customXml/itemProps5.xml><?xml version="1.0" encoding="utf-8"?>
<ds:datastoreItem xmlns:ds="http://schemas.openxmlformats.org/officeDocument/2006/customXml" ds:itemID="{4bb00920-5e60-4843-b60e-1d9ef46e10b8}">
  <ds:schemaRefs/>
</ds:datastoreItem>
</file>

<file path=customXml/itemProps6.xml><?xml version="1.0" encoding="utf-8"?>
<ds:datastoreItem xmlns:ds="http://schemas.openxmlformats.org/officeDocument/2006/customXml" ds:itemID="{76ce0e39-672a-481a-b3a4-d72567c4e1dc}">
  <ds:schemaRefs/>
</ds:datastoreItem>
</file>

<file path=customXml/itemProps7.xml><?xml version="1.0" encoding="utf-8"?>
<ds:datastoreItem xmlns:ds="http://schemas.openxmlformats.org/officeDocument/2006/customXml" ds:itemID="{d9773631-a060-460e-b93c-06bd1251b5e0}">
  <ds:schemaRefs/>
</ds:datastoreItem>
</file>

<file path=customXml/itemProps8.xml><?xml version="1.0" encoding="utf-8"?>
<ds:datastoreItem xmlns:ds="http://schemas.openxmlformats.org/officeDocument/2006/customXml" ds:itemID="{a9f22e1c-255d-43c6-a220-33ed656d267d}">
  <ds:schemaRefs/>
</ds:datastoreItem>
</file>

<file path=customXml/itemProps9.xml><?xml version="1.0" encoding="utf-8"?>
<ds:datastoreItem xmlns:ds="http://schemas.openxmlformats.org/officeDocument/2006/customXml" ds:itemID="{a8db267a-c784-46ca-9ebe-bebdf6512f0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7006</Words>
  <Characters>7676</Characters>
  <Lines>0</Lines>
  <Paragraphs>0</Paragraphs>
  <TotalTime>8</TotalTime>
  <ScaleCrop>false</ScaleCrop>
  <LinksUpToDate>false</LinksUpToDate>
  <CharactersWithSpaces>7685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E06D266F13EA4024808CEEADBAD91186_11</vt:lpwstr>
  </property>
</Properties>
</file>