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东乡族自治县中国共产主义青年团东乡县委员会部门决算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(1)、贯彻执行党的基本路线、方针和政策，组织实施县委、县政府和上级团组织部署的青少年工作为主体的各项任务，组织和带领广大团员青年积极投身我县两个文明建设，为肥东经济和社会发展服务。  </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(2)、加强阵地建设，开展丰富多彩的符合青少年特点的健康向上的文化娱乐活动。</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(3)、建立健全团的基层组织，提高团员素质和团青比例，壮大团员队伍。</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 </w:t>
      </w:r>
      <w:r>
        <w:rPr>
          <w:rFonts w:hint="eastAsia" w:ascii="宋体" w:hAnsi="宋体"/>
          <w:sz w:val="24"/>
          <w:szCs w:val="24"/>
          <w:lang w:val="en-US" w:eastAsia="zh-CN"/>
        </w:rPr>
        <w:t xml:space="preserve">  </w:t>
      </w:r>
      <w:r>
        <w:rPr>
          <w:rFonts w:hint="eastAsia" w:ascii="宋体" w:hAnsi="宋体"/>
          <w:sz w:val="24"/>
          <w:szCs w:val="24"/>
          <w:lang w:val="zh-CN"/>
        </w:rPr>
        <w:t>(4)、研究共青团工作和青少年事业发展问题，为县委和县政府对青少年工作决策提供参考和依据。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  (5)、承办县委、县政府和上级团组织交办的其他工作。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（一）综合办公室</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负责团县委文档管理、机要保密、信息报送等工作，审核印发团县委文件；负责有关重要文件的起草、大型会议及活动后勤保障、财务、车辆、值班等机关日常事务工作；负责肥东共青团网站建设、信息编辑工作；负责团县委与县委、县政府及其他部门的联系，完成书记交办事宜。</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（二）组织宣传部</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负责全县团的组织建设、、团员队伍建设、阵地建设，统筹负责团内评选表彰、干部教育培训工作，负责机关干部、人事、党群、纪检工作，青少年思想引领舆论引导和宣传工作。负责共青团新媒体和“青年之家云平台”的管理运营，负责网评员、网宣员、网络文明志愿者管理，打造清朗网络空间。</w:t>
      </w:r>
    </w:p>
    <w:p>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（三）青少年发展与统战联络部</w:t>
      </w:r>
    </w:p>
    <w:p>
      <w:pPr>
        <w:spacing w:before="100" w:beforeLines="0" w:after="100" w:afterLines="0"/>
        <w:ind w:firstLine="480" w:firstLineChars="200"/>
        <w:jc w:val="left"/>
        <w:rPr>
          <w:rFonts w:hint="eastAsia" w:ascii="宋体" w:hAnsi="宋体"/>
          <w:sz w:val="24"/>
          <w:szCs w:val="24"/>
          <w:lang w:val="zh-CN"/>
        </w:rPr>
      </w:pPr>
      <w:r>
        <w:rPr>
          <w:rFonts w:hint="eastAsia" w:ascii="宋体" w:hAnsi="宋体"/>
          <w:sz w:val="24"/>
          <w:szCs w:val="24"/>
          <w:lang w:val="zh-CN"/>
        </w:rPr>
        <w:t>负责青少年发展、规划及服务青年项目推动工作，统筹推进青年社会组织、青年志愿者、青少年事务社工队伍建设，联系新兴青年群体，维护青少年合法权益，做好未成年人保护工作，负责预青办日常工作。</w:t>
      </w:r>
    </w:p>
    <w:p>
      <w:pPr>
        <w:spacing w:before="100" w:beforeLines="0" w:after="100" w:afterLines="0"/>
        <w:jc w:val="center"/>
        <w:rPr>
          <w:rFonts w:hint="eastAsia" w:ascii="宋体" w:hAnsi="宋体"/>
          <w:b/>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一、收入支出决算总表（见附件</w:t>
      </w:r>
      <w:r>
        <w:rPr>
          <w:rFonts w:hint="eastAsia" w:ascii="宋体" w:hAnsi="宋体"/>
          <w:color w:val="auto"/>
          <w:sz w:val="24"/>
          <w:szCs w:val="24"/>
          <w:lang w:val="en-US" w:eastAsia="zh-CN"/>
        </w:rPr>
        <w:t>1</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二、收入决算表（见附件</w:t>
      </w:r>
      <w:r>
        <w:rPr>
          <w:rFonts w:hint="eastAsia" w:ascii="宋体" w:hAnsi="宋体"/>
          <w:color w:val="auto"/>
          <w:sz w:val="24"/>
          <w:szCs w:val="24"/>
          <w:lang w:val="en-US" w:eastAsia="zh-CN"/>
        </w:rPr>
        <w:t>2</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三、支出决算表（见附件</w:t>
      </w:r>
      <w:r>
        <w:rPr>
          <w:rFonts w:hint="eastAsia" w:ascii="宋体" w:hAnsi="宋体"/>
          <w:color w:val="auto"/>
          <w:sz w:val="24"/>
          <w:szCs w:val="24"/>
          <w:lang w:val="en-US" w:eastAsia="zh-CN"/>
        </w:rPr>
        <w:t>3</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四、财政拨款收入支出决算总表（见附件</w:t>
      </w:r>
      <w:r>
        <w:rPr>
          <w:rFonts w:hint="eastAsia" w:ascii="宋体" w:hAnsi="宋体"/>
          <w:color w:val="auto"/>
          <w:sz w:val="24"/>
          <w:szCs w:val="24"/>
          <w:lang w:val="en-US" w:eastAsia="zh-CN"/>
        </w:rPr>
        <w:t>4</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五、一般公共预算财政拨款支出决算表（见附件</w:t>
      </w:r>
      <w:r>
        <w:rPr>
          <w:rFonts w:hint="eastAsia" w:ascii="宋体" w:hAnsi="宋体"/>
          <w:color w:val="auto"/>
          <w:sz w:val="24"/>
          <w:szCs w:val="24"/>
          <w:lang w:val="en-US" w:eastAsia="zh-CN"/>
        </w:rPr>
        <w:t>5</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六、一般公共预算财政拨款基本支出决算明细表（见附件</w:t>
      </w:r>
      <w:r>
        <w:rPr>
          <w:rFonts w:hint="eastAsia" w:ascii="宋体" w:hAnsi="宋体"/>
          <w:color w:val="auto"/>
          <w:sz w:val="24"/>
          <w:szCs w:val="24"/>
          <w:lang w:val="en-US" w:eastAsia="zh-CN"/>
        </w:rPr>
        <w:t>6</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七、政府性基金预算财政拨款收入支出决算表（见附件</w:t>
      </w:r>
      <w:r>
        <w:rPr>
          <w:rFonts w:hint="eastAsia" w:ascii="宋体" w:hAnsi="宋体"/>
          <w:color w:val="auto"/>
          <w:sz w:val="24"/>
          <w:szCs w:val="24"/>
          <w:lang w:val="en-US" w:eastAsia="zh-CN"/>
        </w:rPr>
        <w:t>7</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八、国有资本经营预算财政拨款支出决算表（见附件</w:t>
      </w:r>
      <w:r>
        <w:rPr>
          <w:rFonts w:hint="eastAsia" w:ascii="宋体" w:hAnsi="宋体"/>
          <w:color w:val="auto"/>
          <w:sz w:val="24"/>
          <w:szCs w:val="24"/>
          <w:lang w:val="en-US" w:eastAsia="zh-CN"/>
        </w:rPr>
        <w:t>8</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经费支出决算表（见附件</w:t>
      </w:r>
      <w:r>
        <w:rPr>
          <w:rFonts w:hint="eastAsia" w:ascii="宋体" w:hAnsi="宋体"/>
          <w:color w:val="auto"/>
          <w:sz w:val="24"/>
          <w:szCs w:val="24"/>
          <w:lang w:val="en-US" w:eastAsia="zh-CN"/>
        </w:rPr>
        <w:t>9</w:t>
      </w:r>
      <w:r>
        <w:rPr>
          <w:rFonts w:hint="eastAsia" w:ascii="宋体" w:hAnsi="宋体"/>
          <w:color w:val="auto"/>
          <w:sz w:val="24"/>
          <w:szCs w:val="24"/>
          <w:lang w:val="zh-CN"/>
        </w:rPr>
        <w:t>）</w:t>
      </w: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240.50万元。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减少11.19万元,下降4.45%,主要原因是其他收入减少(如社会捐赠等)。本年收入总计240</w:t>
      </w:r>
      <w:r>
        <w:rPr>
          <w:rFonts w:hint="eastAsia" w:ascii="宋体" w:hAnsi="宋体"/>
          <w:color w:val="auto"/>
          <w:sz w:val="24"/>
          <w:szCs w:val="24"/>
          <w:lang w:val="en-US" w:eastAsia="zh-CN"/>
        </w:rPr>
        <w:t>.50万元，其中</w:t>
      </w:r>
      <w:r>
        <w:rPr>
          <w:rFonts w:hint="eastAsia" w:ascii="宋体" w:hAnsi="宋体"/>
          <w:color w:val="auto"/>
          <w:sz w:val="24"/>
          <w:szCs w:val="24"/>
          <w:lang w:val="zh-CN"/>
        </w:rPr>
        <w:t>本年收入229.66万元、年初结转和结余</w:t>
      </w:r>
      <w:r>
        <w:rPr>
          <w:rFonts w:hint="eastAsia" w:ascii="宋体" w:hAnsi="宋体"/>
          <w:color w:val="auto"/>
          <w:sz w:val="24"/>
          <w:szCs w:val="24"/>
          <w:lang w:val="en-US" w:eastAsia="zh-CN"/>
        </w:rPr>
        <w:t>10.84万元</w:t>
      </w:r>
      <w:r>
        <w:rPr>
          <w:rFonts w:hint="eastAsia" w:ascii="宋体" w:hAnsi="宋体"/>
          <w:color w:val="auto"/>
          <w:sz w:val="24"/>
          <w:szCs w:val="24"/>
          <w:lang w:val="zh-CN"/>
        </w:rPr>
        <w:t>,支出总计229.66万元、年末结转和结余</w:t>
      </w:r>
      <w:r>
        <w:rPr>
          <w:rFonts w:hint="eastAsia" w:ascii="宋体" w:hAnsi="宋体"/>
          <w:color w:val="auto"/>
          <w:sz w:val="24"/>
          <w:szCs w:val="24"/>
          <w:lang w:val="en-US" w:eastAsia="zh-CN"/>
        </w:rPr>
        <w:t>10.84万元</w:t>
      </w:r>
      <w:r>
        <w:rPr>
          <w:rFonts w:hint="eastAsia" w:ascii="宋体" w:hAnsi="宋体"/>
          <w:color w:val="auto"/>
          <w:sz w:val="24"/>
          <w:szCs w:val="24"/>
          <w:lang w:val="zh-CN"/>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2023年度收入合计229.66万元,其中：财政拨款收入229.66万元,占100.00%。</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2023年度支出合计229.66万元,其中：基本支出212.48万元,占92.52%；项目支出17.18万元,占7.48%。</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229.66万元。与</w:t>
      </w:r>
      <w:r>
        <w:rPr>
          <w:rFonts w:hint="eastAsia" w:ascii="宋体" w:hAnsi="宋体"/>
          <w:color w:val="auto"/>
          <w:sz w:val="24"/>
          <w:szCs w:val="24"/>
          <w:lang w:val="en-US"/>
        </w:rPr>
        <w:t>上</w:t>
      </w:r>
      <w:r>
        <w:rPr>
          <w:rFonts w:hint="eastAsia" w:ascii="宋体" w:hAnsi="宋体"/>
          <w:color w:val="auto"/>
          <w:sz w:val="24"/>
          <w:szCs w:val="24"/>
          <w:lang w:val="zh-CN"/>
        </w:rPr>
        <w:t>年相比,各减少5.76万元,下降2.45%。主要原因是人员减少。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2023年度一般公共预算财政拨款支出229.66万元,较上年决算数减少5.76万元,下降2.45%。主要原因是人员减少。</w:t>
      </w:r>
    </w:p>
    <w:p>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229.66万元，主要用于以下方面：一般公共服务支出180.68万元,占78.67%；社会保障和就业支出18.88万元,占8.22%；卫生健康支出7.19万元,占3.13%；农林水支出7.97万元,占3.47%；住房保障支出14.94万元,占6.51%。</w:t>
      </w:r>
    </w:p>
    <w:p>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220.83万元,支出决算为229.66万元,完成年初预算的104.0%。其中：</w:t>
      </w:r>
    </w:p>
    <w:p>
      <w:pPr>
        <w:numPr>
          <w:ilvl w:val="0"/>
          <w:numId w:val="2"/>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年初预算数为175.76万元,支出决算为180.68万元,完成年初预算的102.8%,决算数大于预算数的主要原因是人员经费增加。</w:t>
      </w:r>
    </w:p>
    <w:p>
      <w:pPr>
        <w:numPr>
          <w:ilvl w:val="0"/>
          <w:numId w:val="0"/>
        </w:numPr>
        <w:spacing w:before="100" w:beforeLines="0" w:after="100" w:afterLines="0"/>
        <w:jc w:val="left"/>
        <w:rPr>
          <w:rFonts w:hint="eastAsia"/>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年初预算数为21.02万元,支出决算为18.88万元,完成年初预算的89.8%,决算数小于预算数的主要原因是人员减少</w:t>
      </w:r>
      <w:r>
        <w:rPr>
          <w:rFonts w:hint="eastAsia" w:ascii="宋体" w:hAnsi="宋体"/>
          <w:color w:val="FF0000"/>
          <w:sz w:val="24"/>
          <w:szCs w:val="24"/>
          <w:lang w:val="zh-CN"/>
        </w:rPr>
        <w:t>。</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年初预算数为8.56万元,支出决算为7.19万元,完成年初预算的83.94%,决算数小于预算数的主要原因是人员减少。</w:t>
      </w:r>
    </w:p>
    <w:p>
      <w:pPr>
        <w:spacing w:before="100" w:beforeLines="0" w:after="100" w:afterLines="0"/>
        <w:jc w:val="left"/>
        <w:rPr>
          <w:rFonts w:hint="eastAsia" w:ascii="宋体" w:hAnsi="宋体"/>
          <w:color w:val="auto"/>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．农林水支出</w:t>
      </w:r>
      <w:r>
        <w:rPr>
          <w:rFonts w:hint="eastAsia" w:ascii="宋体" w:hAnsi="宋体"/>
          <w:color w:val="auto"/>
          <w:sz w:val="24"/>
          <w:szCs w:val="24"/>
          <w:lang w:val="zh-CN"/>
        </w:rPr>
        <w:t>年初预算数为0.00万元,支出决算为7.97万元,完成年初预算的%,决算数大于预算数的主要原因是年中安排下达驻村工作队生活补助。</w:t>
      </w:r>
    </w:p>
    <w:p>
      <w:pPr>
        <w:spacing w:before="100" w:beforeLines="0" w:after="100" w:afterLines="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5</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年初预算数为15.49万元,支出决算为14.94万元,完成年初预算的96.48%,决算数小于预算数的主要原因是人员减少。</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2023年度一般公共预算财政拨款基本支出212.48万元。其中：</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人员经费</w:t>
      </w:r>
      <w:r>
        <w:rPr>
          <w:rFonts w:hint="eastAsia" w:ascii="宋体" w:hAnsi="宋体"/>
          <w:color w:val="auto"/>
          <w:sz w:val="24"/>
          <w:szCs w:val="24"/>
          <w:lang w:val="zh-CN"/>
        </w:rPr>
        <w:t>198.94万元,较上年决算数减少19.31万元,下降8.85%,主要原因是人员减少。人员经费用途主要包括基本工资、津贴补贴、奖金、社会保障缴费、住房公积金等。</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公用经费</w:t>
      </w:r>
      <w:r>
        <w:rPr>
          <w:rFonts w:hint="eastAsia" w:ascii="宋体" w:hAnsi="宋体"/>
          <w:color w:val="auto"/>
          <w:sz w:val="24"/>
          <w:szCs w:val="24"/>
          <w:lang w:val="zh-CN"/>
        </w:rPr>
        <w:t>13.54万元,较上年决算数减少3.63万元,下降21.12%,主要原因是经费减少。。公用经费用途主要包括办公费、印刷费、差旅费、电费、邮电费、工会经费、其他交通费由等。</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本部门2023年度无政府性基金收入,也没有使用政府性基金安排的支出。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本部门2023年度没有使用国有资本经营预算安排的支出。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我单位属于行政类事业单位,财政未保障我单位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预算数为0.00万元,支出决算为0.00万元,决算数小于预算数的主要原因是.....,</w:t>
      </w:r>
      <w:r>
        <w:rPr>
          <w:rFonts w:hint="eastAsia" w:ascii="宋体" w:hAnsi="宋体"/>
          <w:color w:val="auto"/>
          <w:sz w:val="24"/>
          <w:szCs w:val="24"/>
          <w:lang w:val="en-US"/>
        </w:rPr>
        <w:t>较上年决算数</w:t>
      </w:r>
      <w:r>
        <w:rPr>
          <w:rFonts w:hint="eastAsia" w:ascii="宋体" w:hAnsi="宋体"/>
          <w:color w:val="auto"/>
          <w:sz w:val="24"/>
          <w:szCs w:val="24"/>
          <w:lang w:val="en-US" w:eastAsia="zh-CN"/>
        </w:rPr>
        <w:t>减少0.0</w:t>
      </w:r>
      <w:r>
        <w:rPr>
          <w:rFonts w:hint="eastAsia" w:ascii="宋体" w:hAnsi="宋体"/>
          <w:color w:val="auto"/>
          <w:sz w:val="24"/>
          <w:szCs w:val="24"/>
          <w:lang w:val="zh-CN"/>
        </w:rPr>
        <w:t>万元</w:t>
      </w:r>
      <w:r>
        <w:rPr>
          <w:rFonts w:hint="eastAsia" w:ascii="宋体" w:hAnsi="宋体"/>
          <w:color w:val="auto"/>
          <w:sz w:val="24"/>
          <w:szCs w:val="24"/>
          <w:lang w:val="en-US"/>
        </w:rPr>
        <w:t>,</w:t>
      </w:r>
      <w:r>
        <w:rPr>
          <w:rFonts w:hint="eastAsia" w:ascii="宋体" w:hAnsi="宋体"/>
          <w:color w:val="auto"/>
          <w:sz w:val="24"/>
          <w:szCs w:val="24"/>
          <w:lang w:val="en-US" w:eastAsia="zh-CN"/>
        </w:rPr>
        <w:t>下降</w:t>
      </w:r>
      <w:r>
        <w:rPr>
          <w:rFonts w:hint="eastAsia" w:ascii="宋体" w:hAnsi="宋体"/>
          <w:color w:val="auto"/>
          <w:sz w:val="24"/>
          <w:szCs w:val="24"/>
          <w:lang w:val="zh-CN"/>
        </w:rPr>
        <w:t>%</w:t>
      </w:r>
      <w:r>
        <w:rPr>
          <w:rFonts w:hint="eastAsia" w:ascii="宋体" w:hAnsi="宋体"/>
          <w:color w:val="auto"/>
          <w:sz w:val="24"/>
          <w:szCs w:val="24"/>
          <w:lang w:val="en-US"/>
        </w:rPr>
        <w:t>,主要原因是......</w:t>
      </w:r>
      <w:r>
        <w:rPr>
          <w:rFonts w:hint="eastAsia" w:ascii="宋体" w:hAnsi="宋体"/>
          <w:color w:val="auto"/>
          <w:sz w:val="24"/>
          <w:szCs w:val="24"/>
          <w:lang w:val="zh-CN"/>
        </w:rPr>
        <w:t>。</w:t>
      </w:r>
    </w:p>
    <w:p>
      <w:pPr>
        <w:numPr>
          <w:ilvl w:val="0"/>
          <w:numId w:val="3"/>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pPr>
        <w:numPr>
          <w:ilvl w:val="0"/>
          <w:numId w:val="4"/>
        </w:numPr>
        <w:spacing w:before="100" w:beforeLines="0" w:after="100" w:afterLines="0"/>
        <w:jc w:val="left"/>
        <w:rPr>
          <w:rFonts w:hint="eastAsia" w:ascii="宋体" w:hAnsi="宋体"/>
          <w:color w:val="FF0000"/>
          <w:sz w:val="24"/>
          <w:szCs w:val="24"/>
          <w:lang w:val="zh-CN"/>
        </w:rPr>
      </w:pP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p>
    <w:p>
      <w:pPr>
        <w:numPr>
          <w:ilvl w:val="0"/>
          <w:numId w:val="0"/>
        </w:numPr>
        <w:spacing w:before="100" w:beforeLines="0" w:after="100" w:afterLines="0"/>
        <w:jc w:val="left"/>
        <w:rPr>
          <w:rFonts w:hint="eastAsia" w:ascii="宋体" w:hAnsi="宋体"/>
          <w:color w:val="auto"/>
          <w:sz w:val="24"/>
          <w:szCs w:val="24"/>
          <w:lang w:val="zh-CN"/>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p>
    <w:p>
      <w:pPr>
        <w:numPr>
          <w:ilvl w:val="0"/>
          <w:numId w:val="0"/>
        </w:numPr>
        <w:spacing w:before="100" w:beforeLines="0" w:after="100" w:afterLines="0"/>
        <w:jc w:val="left"/>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其他国内公务接待支出0</w:t>
      </w:r>
      <w:r>
        <w:rPr>
          <w:rFonts w:hint="eastAsia" w:ascii="宋体" w:hAnsi="宋体"/>
          <w:color w:val="auto"/>
          <w:sz w:val="24"/>
          <w:szCs w:val="24"/>
          <w:lang w:val="zh-CN"/>
        </w:rPr>
        <w:t>万元。</w:t>
      </w:r>
    </w:p>
    <w:p>
      <w:pPr>
        <w:numPr>
          <w:ilvl w:val="0"/>
          <w:numId w:val="3"/>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共计0个团组,0人；</w:t>
      </w:r>
      <w:r>
        <w:rPr>
          <w:rFonts w:hint="eastAsia" w:ascii="宋体" w:hAnsi="宋体"/>
          <w:b/>
          <w:color w:val="auto"/>
          <w:sz w:val="24"/>
          <w:szCs w:val="24"/>
          <w:lang w:val="zh-CN"/>
        </w:rPr>
        <w:t>公务用车购置</w:t>
      </w:r>
      <w:r>
        <w:rPr>
          <w:rFonts w:hint="eastAsia" w:ascii="宋体" w:hAnsi="宋体"/>
          <w:color w:val="auto"/>
          <w:sz w:val="24"/>
          <w:szCs w:val="24"/>
          <w:lang w:val="zh-CN"/>
        </w:rPr>
        <w:t>0辆,</w:t>
      </w:r>
      <w:r>
        <w:rPr>
          <w:rFonts w:hint="eastAsia" w:ascii="宋体" w:hAnsi="宋体"/>
          <w:b/>
          <w:color w:val="auto"/>
          <w:sz w:val="24"/>
          <w:szCs w:val="24"/>
          <w:lang w:val="zh-CN"/>
        </w:rPr>
        <w:t>公务用车保有量</w:t>
      </w:r>
      <w:r>
        <w:rPr>
          <w:rFonts w:hint="eastAsia" w:ascii="宋体" w:hAnsi="宋体"/>
          <w:color w:val="auto"/>
          <w:sz w:val="24"/>
          <w:szCs w:val="24"/>
          <w:lang w:val="zh-CN"/>
        </w:rPr>
        <w:t>为0辆；</w:t>
      </w:r>
      <w:r>
        <w:rPr>
          <w:rFonts w:hint="eastAsia" w:ascii="宋体" w:hAnsi="宋体"/>
          <w:b/>
          <w:color w:val="auto"/>
          <w:sz w:val="24"/>
          <w:szCs w:val="24"/>
          <w:lang w:val="zh-CN"/>
        </w:rPr>
        <w:t>国内公务接待</w:t>
      </w:r>
      <w:r>
        <w:rPr>
          <w:rFonts w:hint="eastAsia" w:ascii="宋体" w:hAnsi="宋体"/>
          <w:color w:val="auto"/>
          <w:sz w:val="24"/>
          <w:szCs w:val="24"/>
          <w:lang w:val="zh-CN"/>
        </w:rPr>
        <w:t>0批次0人,其中：</w:t>
      </w:r>
      <w:r>
        <w:rPr>
          <w:rFonts w:hint="eastAsia" w:ascii="宋体" w:hAnsi="宋体"/>
          <w:b/>
          <w:color w:val="auto"/>
          <w:sz w:val="24"/>
          <w:szCs w:val="24"/>
          <w:lang w:val="zh-CN"/>
        </w:rPr>
        <w:t>外事接待</w:t>
      </w:r>
      <w:r>
        <w:rPr>
          <w:rFonts w:hint="eastAsia" w:ascii="宋体" w:hAnsi="宋体"/>
          <w:color w:val="auto"/>
          <w:sz w:val="24"/>
          <w:szCs w:val="24"/>
          <w:lang w:val="zh-CN"/>
        </w:rPr>
        <w:t>0批次,0人；</w:t>
      </w:r>
      <w:r>
        <w:rPr>
          <w:rFonts w:hint="eastAsia" w:ascii="宋体" w:hAnsi="宋体"/>
          <w:b/>
          <w:color w:val="auto"/>
          <w:sz w:val="24"/>
          <w:szCs w:val="24"/>
          <w:lang w:val="zh-CN"/>
        </w:rPr>
        <w:t>国(境)外公务接待</w:t>
      </w:r>
      <w:r>
        <w:rPr>
          <w:rFonts w:hint="eastAsia" w:ascii="宋体" w:hAnsi="宋体"/>
          <w:color w:val="auto"/>
          <w:sz w:val="24"/>
          <w:szCs w:val="24"/>
          <w:lang w:val="zh-CN"/>
        </w:rPr>
        <w:t>0批次,0人。</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2023年度本部门机关运行经费支出13.54万元,机关运行经费</w:t>
      </w:r>
      <w:r>
        <w:rPr>
          <w:rFonts w:hint="eastAsia" w:ascii="宋体" w:hAnsi="宋体"/>
          <w:color w:val="FF0000"/>
          <w:sz w:val="24"/>
          <w:szCs w:val="24"/>
          <w:lang w:val="zh-CN"/>
        </w:rPr>
        <w:t>主</w:t>
      </w:r>
      <w:r>
        <w:rPr>
          <w:rFonts w:hint="eastAsia" w:ascii="宋体" w:hAnsi="宋体"/>
          <w:color w:val="auto"/>
          <w:sz w:val="24"/>
          <w:szCs w:val="24"/>
          <w:lang w:val="zh-CN"/>
        </w:rPr>
        <w:t>要用于开支办公费、印刷费、差旅费、电费、邮电费、工会经费、其他交通费由等。机关运行经费较上年决算数减少3.63万元,下降21.14%,主要原因是落实过紧日子要求，压减经费支出等。</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本年度会议费支出0.00万元,较上年决算数减少0.0万元。</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本年度培训费支出0.00万元,较上年决算数减少0.0万元。</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2023年度本部门政府采购支出合计2.64万元,其中：政府采购货物支出2.64万元、政府采购工程支出0.00万元、政府采购服务支出0.00万元。授予中小企业合同金额2.00万元,占政府采购支出总额的75.64%,其中：授予小微企业合同金额2.00万元,占政府采购支出总额的75.64%。</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单价100万元(含)以上设备0台(套)。</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pPr>
        <w:spacing w:before="100" w:beforeLines="0" w:after="100" w:afterLines="0"/>
        <w:jc w:val="left"/>
        <w:rPr>
          <w:rFonts w:hint="eastAsia" w:ascii="宋体" w:hAnsi="宋体"/>
          <w:color w:val="FF0000"/>
          <w:sz w:val="24"/>
          <w:szCs w:val="24"/>
          <w:lang w:val="zh-CN"/>
        </w:rPr>
      </w:pPr>
    </w:p>
    <w:p>
      <w:pPr>
        <w:spacing w:before="100" w:beforeLines="0" w:after="100" w:afterLines="0"/>
        <w:jc w:val="left"/>
        <w:rPr>
          <w:rFonts w:hint="eastAsia" w:ascii="宋体" w:hAnsi="宋体"/>
          <w:color w:val="auto"/>
          <w:sz w:val="24"/>
          <w:szCs w:val="24"/>
          <w:lang w:val="zh-CN"/>
        </w:rPr>
      </w:pP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pPr>
        <w:spacing w:before="100" w:beforeLines="0" w:after="100" w:afterLines="0"/>
        <w:jc w:val="left"/>
        <w:rPr>
          <w:rFonts w:hint="eastAsia" w:ascii="宋体" w:hAnsi="宋体"/>
          <w:color w:val="auto"/>
          <w:sz w:val="24"/>
          <w:szCs w:val="24"/>
          <w:lang w:val="zh-CN"/>
        </w:rPr>
      </w:pPr>
      <w:r>
        <w:rPr>
          <w:rFonts w:hint="eastAsia" w:ascii="宋体" w:hAnsi="宋体"/>
          <w:color w:val="FF0000"/>
          <w:sz w:val="24"/>
          <w:szCs w:val="24"/>
          <w:lang w:val="zh-CN"/>
        </w:rPr>
        <w:t>(本单位未开展预算绩效管理。)</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一、预算绩效管理工作开展情况</w:t>
      </w:r>
    </w:p>
    <w:p>
      <w:pPr>
        <w:keepNext/>
        <w:keepLines/>
        <w:suppressLineNumbers/>
        <w:spacing w:beforeLines="0" w:afterLines="0"/>
        <w:ind w:firstLine="480" w:firstLineChars="200"/>
        <w:jc w:val="both"/>
        <w:rPr>
          <w:rFonts w:hint="eastAsia" w:ascii="仿宋_GB2312" w:hAnsi="仿宋_GB2312" w:eastAsia="仿宋_GB2312" w:cs="仿宋_GB2312"/>
          <w:color w:val="auto"/>
          <w:sz w:val="32"/>
          <w:szCs w:val="32"/>
          <w:lang w:val="zh-CN"/>
        </w:rPr>
      </w:pPr>
      <w:r>
        <w:rPr>
          <w:rFonts w:hint="eastAsia" w:ascii="宋体" w:hAnsi="宋体" w:eastAsia="宋体" w:cs="宋体"/>
          <w:color w:val="000000"/>
          <w:kern w:val="0"/>
          <w:sz w:val="24"/>
          <w:szCs w:val="24"/>
          <w:lang w:val="en-US"/>
        </w:rPr>
        <w:t>根据预算绩效管理要求,本部门对</w:t>
      </w:r>
      <w:r>
        <w:rPr>
          <w:rFonts w:hint="eastAsia" w:ascii="宋体" w:hAnsi="宋体" w:eastAsia="宋体" w:cs="宋体"/>
          <w:color w:val="000000"/>
          <w:kern w:val="0"/>
          <w:sz w:val="24"/>
          <w:szCs w:val="24"/>
          <w:lang w:val="en-US" w:eastAsia="zh-CN"/>
        </w:rPr>
        <w:t>2023</w:t>
      </w:r>
      <w:r>
        <w:rPr>
          <w:rFonts w:hint="eastAsia" w:ascii="宋体" w:hAnsi="宋体" w:eastAsia="宋体" w:cs="宋体"/>
          <w:color w:val="000000"/>
          <w:kern w:val="0"/>
          <w:sz w:val="24"/>
          <w:szCs w:val="24"/>
          <w:lang w:val="en-US"/>
        </w:rPr>
        <w:t>年度一般公共预算项目支出全面开展绩效自评,其中,一级项目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个,二级项目</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个,共涉及资金</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eastAsia="zh-CN"/>
        </w:rPr>
        <w:t>万元</w:t>
      </w:r>
      <w:r>
        <w:rPr>
          <w:rFonts w:hint="eastAsia" w:ascii="宋体" w:hAnsi="宋体" w:eastAsia="宋体" w:cs="宋体"/>
          <w:color w:val="000000"/>
          <w:kern w:val="0"/>
          <w:sz w:val="24"/>
          <w:szCs w:val="24"/>
          <w:lang w:val="en-US"/>
        </w:rPr>
        <w:t>,占一般公共预算项目支出总额的</w:t>
      </w:r>
      <w:r>
        <w:rPr>
          <w:rFonts w:hint="eastAsia" w:ascii="宋体" w:hAnsi="宋体" w:cs="宋体"/>
          <w:color w:val="FF0000"/>
          <w:kern w:val="0"/>
          <w:sz w:val="24"/>
          <w:szCs w:val="24"/>
          <w:lang w:val="en-US" w:eastAsia="zh-CN"/>
        </w:rPr>
        <w:t>0</w:t>
      </w:r>
      <w:r>
        <w:rPr>
          <w:rFonts w:hint="eastAsia" w:ascii="宋体" w:hAnsi="宋体" w:eastAsia="宋体" w:cs="宋体"/>
          <w:color w:val="000000"/>
          <w:kern w:val="0"/>
          <w:sz w:val="24"/>
          <w:szCs w:val="24"/>
          <w:lang w:val="en-US"/>
        </w:rPr>
        <w:t>%。</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二、绩效自评结果</w:t>
      </w:r>
    </w:p>
    <w:p>
      <w:pPr>
        <w:keepNext/>
        <w:keepLines/>
        <w:suppressLineNumbers/>
        <w:spacing w:beforeLines="0" w:afterLines="0"/>
        <w:ind w:firstLine="360" w:firstLineChars="150"/>
        <w:jc w:val="both"/>
        <w:rPr>
          <w:rFonts w:hint="eastAsia" w:ascii="宋体" w:hAnsi="宋体" w:eastAsia="宋体" w:cs="宋体"/>
          <w:color w:val="000000"/>
          <w:kern w:val="0"/>
          <w:sz w:val="24"/>
          <w:szCs w:val="24"/>
          <w:highlight w:val="none"/>
          <w:lang w:val="en-US"/>
        </w:rPr>
      </w:pPr>
      <w:r>
        <w:rPr>
          <w:rFonts w:hint="eastAsia" w:ascii="宋体" w:hAnsi="宋体" w:eastAsia="宋体" w:cs="宋体"/>
          <w:color w:val="000000"/>
          <w:kern w:val="0"/>
          <w:sz w:val="24"/>
          <w:szCs w:val="24"/>
          <w:highlight w:val="none"/>
          <w:lang w:val="en-US"/>
        </w:rPr>
        <w:t>我部门在</w:t>
      </w:r>
      <w:r>
        <w:rPr>
          <w:rFonts w:hint="eastAsia" w:ascii="宋体" w:hAnsi="宋体" w:eastAsia="宋体" w:cs="宋体"/>
          <w:color w:val="000000"/>
          <w:kern w:val="0"/>
          <w:sz w:val="24"/>
          <w:szCs w:val="24"/>
          <w:highlight w:val="none"/>
          <w:lang w:val="en-US" w:eastAsia="zh-CN"/>
        </w:rPr>
        <w:t>2023</w:t>
      </w:r>
      <w:r>
        <w:rPr>
          <w:rFonts w:hint="eastAsia" w:ascii="宋体" w:hAnsi="宋体" w:eastAsia="宋体" w:cs="宋体"/>
          <w:color w:val="000000"/>
          <w:kern w:val="0"/>
          <w:sz w:val="24"/>
          <w:szCs w:val="24"/>
          <w:highlight w:val="none"/>
          <w:lang w:val="en-US"/>
        </w:rPr>
        <w:t>年度部门决算中</w:t>
      </w:r>
      <w:r>
        <w:rPr>
          <w:rFonts w:hint="eastAsia" w:ascii="宋体" w:hAnsi="宋体" w:cs="宋体"/>
          <w:color w:val="000000"/>
          <w:kern w:val="0"/>
          <w:sz w:val="24"/>
          <w:szCs w:val="24"/>
          <w:highlight w:val="none"/>
          <w:lang w:val="en-US" w:eastAsia="zh-CN"/>
        </w:rPr>
        <w:t>未</w:t>
      </w:r>
      <w:r>
        <w:rPr>
          <w:rFonts w:hint="eastAsia" w:ascii="宋体" w:hAnsi="宋体" w:eastAsia="宋体" w:cs="宋体"/>
          <w:color w:val="000000"/>
          <w:kern w:val="0"/>
          <w:sz w:val="24"/>
          <w:szCs w:val="24"/>
          <w:highlight w:val="none"/>
          <w:lang w:val="en-US"/>
        </w:rPr>
        <w:t>反映项目绩效自评结果。</w:t>
      </w:r>
    </w:p>
    <w:p>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三、部门绩效评价结果</w:t>
      </w:r>
    </w:p>
    <w:p>
      <w:pPr>
        <w:spacing w:before="100" w:beforeLines="0" w:after="100" w:afterLines="0"/>
        <w:jc w:val="both"/>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FF0000"/>
          <w:sz w:val="24"/>
          <w:szCs w:val="24"/>
          <w:lang w:val="zh-CN"/>
        </w:rPr>
        <w:t>我部门无主管部门需随决算公开部门评价(含委托第三方对部门政策或项目开展重点绩效评价的)报告或案例。</w:t>
      </w:r>
    </w:p>
    <w:p>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FF0000"/>
          <w:sz w:val="24"/>
          <w:szCs w:val="24"/>
          <w:lang w:val="zh-CN"/>
        </w:rPr>
        <w:t>以下为常见专业名词解释目录,仅供参考,部门应根据实际情况进行解释和增减。比如可将类级功能科目和经济科目细化解释到项级。若有删减注意调整段落序号。</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pPr>
        <w:spacing w:before="100" w:beforeLines="0" w:after="100" w:afterLines="0"/>
        <w:jc w:val="both"/>
        <w:rPr>
          <w:rFonts w:hint="eastAsia" w:ascii="宋体" w:hAnsi="宋体" w:eastAsia="宋体" w:cs="宋体"/>
          <w:color w:val="auto"/>
          <w:sz w:val="24"/>
          <w:szCs w:val="24"/>
          <w:lang w:val="zh-CN"/>
        </w:rPr>
      </w:pPr>
    </w:p>
    <w:p>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（根据“收入决算表”和“支出决算表”，参照第十四项说明，对本部门所有涉及到的项级支出功能科目进行说明，注意不要重复，并调整段落序号）</w:t>
      </w: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p>
      <w:pPr>
        <w:spacing w:before="100" w:beforeLines="0" w:after="100" w:afterLines="0"/>
        <w:jc w:val="both"/>
        <w:rPr>
          <w:rFonts w:hint="eastAsia" w:ascii="仿宋_GB2312" w:hAnsi="仿宋_GB2312" w:eastAsia="仿宋_GB2312" w:cs="仿宋_GB2312"/>
          <w:b/>
          <w:bCs/>
          <w:color w:val="auto"/>
          <w:sz w:val="32"/>
          <w:szCs w:val="32"/>
          <w:lang w:val="zh-CN"/>
        </w:rPr>
      </w:pPr>
    </w:p>
    <w:tbl>
      <w:tblPr>
        <w:tblStyle w:val="3"/>
        <w:tblpPr w:leftFromText="180" w:rightFromText="180" w:vertAnchor="text" w:horzAnchor="page" w:tblpX="180" w:tblpY="932"/>
        <w:tblOverlap w:val="never"/>
        <w:tblW w:w="120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3630"/>
        <w:gridCol w:w="882"/>
        <w:gridCol w:w="1578"/>
        <w:gridCol w:w="3428"/>
        <w:gridCol w:w="924"/>
        <w:gridCol w:w="16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6090" w:type="dxa"/>
            <w:gridSpan w:val="3"/>
            <w:shd w:val="clear" w:color="auto" w:fill="F1F1F1"/>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5955" w:type="dxa"/>
            <w:gridSpan w:val="3"/>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57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42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03"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882" w:type="dxa"/>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7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24" w:type="dxa"/>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03"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2,296,571.80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1,806,787.00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188,788.68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78" w:type="dxa"/>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78" w:type="dxa"/>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78" w:type="dxa"/>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2,296,571.80</w:t>
            </w:r>
          </w:p>
        </w:tc>
        <w:tc>
          <w:tcPr>
            <w:tcW w:w="342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2,296,571.80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03" w:type="dxa"/>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108,399.97</w:t>
            </w:r>
          </w:p>
        </w:tc>
        <w:tc>
          <w:tcPr>
            <w:tcW w:w="3428" w:type="dxa"/>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108,399.97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578" w:type="dxa"/>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428" w:type="dxa"/>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603" w:type="dxa"/>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3630"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882"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578"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2,404,971.77</w:t>
            </w:r>
          </w:p>
        </w:tc>
        <w:tc>
          <w:tcPr>
            <w:tcW w:w="3428"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24" w:type="dxa"/>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603" w:type="dxa"/>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2,404,971.77</w:t>
            </w:r>
          </w:p>
        </w:tc>
      </w:tr>
    </w:tbl>
    <w:p>
      <w:pPr>
        <w:spacing w:before="100" w:beforeLines="0" w:after="100" w:afterLines="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zh-CN"/>
        </w:rPr>
        <w:t>附件</w:t>
      </w: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lang w:val="zh-CN"/>
        </w:rPr>
        <w:t>收入支出决算总表</w:t>
      </w:r>
    </w:p>
    <w:tbl>
      <w:tblPr>
        <w:tblStyle w:val="3"/>
        <w:tblpPr w:leftFromText="180" w:rightFromText="180" w:vertAnchor="text" w:horzAnchor="page" w:tblpX="344" w:tblpY="11989"/>
        <w:tblOverlap w:val="never"/>
        <w:tblW w:w="119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2441"/>
        <w:gridCol w:w="1674"/>
        <w:gridCol w:w="1750"/>
        <w:gridCol w:w="977"/>
        <w:gridCol w:w="1049"/>
        <w:gridCol w:w="1005"/>
        <w:gridCol w:w="1049"/>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989"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41" w:type="dxa"/>
            <w:vMerge w:val="restart"/>
            <w:tcBorders>
              <w:top w:val="nil"/>
              <w:left w:val="nil"/>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74"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50"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7"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bookmarkStart w:id="0" w:name="_GoBack"/>
            <w:bookmarkEnd w:id="0"/>
          </w:p>
        </w:tc>
        <w:tc>
          <w:tcPr>
            <w:tcW w:w="1049"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5"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49"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3" w:type="dxa"/>
            <w:vMerge w:val="restart"/>
            <w:tcBorders>
              <w:top w:val="nil"/>
              <w:left w:val="nil"/>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98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41" w:type="dxa"/>
            <w:vMerge w:val="continue"/>
            <w:tcBorders>
              <w:top w:val="nil"/>
              <w:left w:val="nil"/>
              <w:bottom w:val="single" w:color="D4D4D4" w:sz="4" w:space="0"/>
              <w:right w:val="single" w:color="D4D4D4"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74"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50"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77"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05"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49"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63" w:type="dxa"/>
            <w:vMerge w:val="continue"/>
            <w:tcBorders>
              <w:top w:val="nil"/>
              <w:left w:val="nil"/>
              <w:bottom w:val="single" w:color="D4D4D4" w:sz="4" w:space="0"/>
              <w:right w:val="single" w:color="D4D4D4"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6" w:hRule="atLeast"/>
        </w:trPr>
        <w:tc>
          <w:tcPr>
            <w:tcW w:w="3430" w:type="dxa"/>
            <w:gridSpan w:val="2"/>
            <w:tcBorders>
              <w:top w:val="nil"/>
              <w:left w:val="nil"/>
              <w:bottom w:val="single" w:color="000000" w:sz="4" w:space="0"/>
              <w:right w:val="single" w:color="D4D4D4"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74"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50"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77"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9"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5"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49"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63" w:type="dxa"/>
            <w:tcBorders>
              <w:top w:val="nil"/>
              <w:left w:val="nil"/>
              <w:bottom w:val="single" w:color="000000" w:sz="4" w:space="0"/>
              <w:right w:val="single" w:color="D4D4D4"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343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7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2,296,571.80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2,296,571.80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1,794,367.00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1,794,367.00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149,425.00</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149,425.00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24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6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1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spacing w:before="100" w:beforeLines="0" w:after="100" w:afterLines="0"/>
        <w:jc w:val="both"/>
        <w:rPr>
          <w:rFonts w:hint="eastAsia" w:ascii="仿宋_GB2312" w:hAnsi="仿宋_GB2312" w:eastAsia="仿宋_GB2312" w:cs="仿宋_GB2312"/>
          <w:b/>
          <w:bCs/>
          <w:color w:val="auto"/>
          <w:sz w:val="28"/>
          <w:szCs w:val="28"/>
          <w:lang w:val="en-US" w:eastAsia="zh-CN"/>
        </w:rPr>
        <w:sectPr>
          <w:type w:val="continuous"/>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pPr>
      <w:r>
        <w:rPr>
          <w:rFonts w:hint="eastAsia" w:ascii="仿宋_GB2312" w:hAnsi="仿宋_GB2312" w:eastAsia="仿宋_GB2312" w:cs="仿宋_GB2312"/>
          <w:b/>
          <w:bCs/>
          <w:color w:val="auto"/>
          <w:sz w:val="28"/>
          <w:szCs w:val="28"/>
          <w:lang w:val="zh-CN"/>
        </w:rPr>
        <w:t>附件</w:t>
      </w:r>
      <w:r>
        <w:rPr>
          <w:rFonts w:hint="eastAsia" w:ascii="仿宋_GB2312" w:hAnsi="仿宋_GB2312" w:eastAsia="仿宋_GB2312" w:cs="仿宋_GB2312"/>
          <w:b/>
          <w:bCs/>
          <w:color w:val="auto"/>
          <w:sz w:val="28"/>
          <w:szCs w:val="28"/>
          <w:lang w:val="en-US" w:eastAsia="zh-CN"/>
        </w:rPr>
        <w:t>2：收入决算表</w:t>
      </w:r>
    </w:p>
    <w:p>
      <w:pPr>
        <w:spacing w:before="100" w:beforeLines="0" w:after="100" w:afterLines="0"/>
        <w:jc w:val="both"/>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zh-CN"/>
        </w:rPr>
        <w:t>附件</w:t>
      </w: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val="zh-CN"/>
        </w:rPr>
        <w:t>支出决算表</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sectPr>
          <w:type w:val="continuous"/>
          <w:pgSz w:w="12240" w:h="15840"/>
          <w:pgMar w:top="1440" w:right="1800" w:bottom="1440" w:left="1800" w:header="720" w:footer="720" w:gutter="0"/>
          <w:pgBorders>
            <w:top w:val="none" w:sz="0" w:space="0"/>
            <w:left w:val="none" w:sz="0" w:space="0"/>
            <w:bottom w:val="none" w:sz="0" w:space="0"/>
            <w:right w:val="none" w:sz="0" w:space="0"/>
          </w:pgBorders>
          <w:lnNumType w:countBy="0" w:distance="360" w:restart="continuous"/>
          <w:cols w:space="720" w:num="1"/>
          <w:docGrid w:type="lines" w:linePitch="312" w:charSpace="0"/>
        </w:sectPr>
      </w:pPr>
    </w:p>
    <w:tbl>
      <w:tblPr>
        <w:tblStyle w:val="3"/>
        <w:tblpPr w:leftFromText="180" w:rightFromText="180" w:vertAnchor="text" w:horzAnchor="page" w:tblpX="102" w:tblpY="365"/>
        <w:tblOverlap w:val="never"/>
        <w:tblW w:w="13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9"/>
        <w:gridCol w:w="4065"/>
        <w:gridCol w:w="1908"/>
        <w:gridCol w:w="1797"/>
        <w:gridCol w:w="1482"/>
        <w:gridCol w:w="967"/>
        <w:gridCol w:w="1191"/>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90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79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6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065"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6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065"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9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6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90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9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2"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6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9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5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2,296,571.80</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2,124,771.80</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171,800.00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1,794,367.00</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1,711,267.00</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83,100.00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149,425.00</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140,425.00</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40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90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17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14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0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zh-CN"/>
        </w:rPr>
        <w:t>附件</w:t>
      </w:r>
      <w:r>
        <w:rPr>
          <w:rFonts w:hint="eastAsia" w:ascii="仿宋_GB2312" w:hAnsi="仿宋_GB2312" w:eastAsia="仿宋_GB2312" w:cs="仿宋_GB2312"/>
          <w:b/>
          <w:bCs/>
          <w:color w:val="auto"/>
          <w:sz w:val="24"/>
          <w:szCs w:val="24"/>
          <w:lang w:val="en-US" w:eastAsia="zh-CN"/>
        </w:rPr>
        <w:t>4：财政拨款收入</w:t>
      </w:r>
      <w:r>
        <w:rPr>
          <w:rFonts w:hint="eastAsia" w:ascii="仿宋_GB2312" w:hAnsi="仿宋_GB2312" w:eastAsia="仿宋_GB2312" w:cs="仿宋_GB2312"/>
          <w:b/>
          <w:bCs/>
          <w:color w:val="auto"/>
          <w:sz w:val="24"/>
          <w:szCs w:val="24"/>
          <w:lang w:val="zh-CN"/>
        </w:rPr>
        <w:t>支出决算总表</w:t>
      </w:r>
    </w:p>
    <w:tbl>
      <w:tblPr>
        <w:tblStyle w:val="3"/>
        <w:tblpPr w:leftFromText="180" w:rightFromText="180" w:vertAnchor="text" w:horzAnchor="page" w:tblpX="251" w:tblpY="242"/>
        <w:tblOverlap w:val="never"/>
        <w:tblW w:w="12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53"/>
        <w:gridCol w:w="575"/>
        <w:gridCol w:w="1205"/>
        <w:gridCol w:w="2510"/>
        <w:gridCol w:w="560"/>
        <w:gridCol w:w="1192"/>
        <w:gridCol w:w="1206"/>
        <w:gridCol w:w="1204"/>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4233"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收     入</w:t>
            </w:r>
          </w:p>
        </w:tc>
        <w:tc>
          <w:tcPr>
            <w:tcW w:w="7849"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5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7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2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金额</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项目</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行次</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合计</w:t>
            </w:r>
          </w:p>
        </w:tc>
        <w:tc>
          <w:tcPr>
            <w:tcW w:w="120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一般公共预算财政拨款</w:t>
            </w:r>
          </w:p>
        </w:tc>
        <w:tc>
          <w:tcPr>
            <w:tcW w:w="120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政府性基金预算财政拨款</w:t>
            </w:r>
          </w:p>
        </w:tc>
        <w:tc>
          <w:tcPr>
            <w:tcW w:w="11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245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57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12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20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120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c>
          <w:tcPr>
            <w:tcW w:w="11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栏次</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16"/>
                <w:szCs w:val="16"/>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0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04"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17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一、一般公共服务支出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1,806,787.00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1,806,787.00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二、政府性基金预算财政拨款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二、外交支出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三、国有资本经营预算财政拨款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三、国防支出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四、公共安全支出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五、教育支出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六、科学技术支出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七、文化旅游体育与传媒支出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八、社会保障和就业支出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188,788.68</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188,788.68</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九、卫生健康支出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71,871.12</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71,871.12</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十、节能环保支出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十一、城乡社区支出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十二、农林水支出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79,700.00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79,700.00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十三、交通运输支出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十四、资源勘探工业信息等支出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十五、商业服务业等支出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十六、金融支出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十七、援助其他地区支出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十八、自然资源海洋气象等支出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十九、住房保障支出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149,425.00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149,425.00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二十、粮油物资储备支出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二十一、国有资本经营预算支出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二十二、灾害防治及应急管理支</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23</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二十三、其他支出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55</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二十四、债务还本支出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56</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25</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二十五、债务付息支出</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57</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二十六、抗疫特别国债安排的支</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58</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本年收入合计</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27</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本年支出合计</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59</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年初财政拨款结转和结余</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年末财政拨款结转和结余</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60</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0.00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一般公共预算财政拨款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29</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61</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政府性基金预算财政拨款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62</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国有资本经营预算财政拨款</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31</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6"/>
                <w:szCs w:val="16"/>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63</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453"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7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12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251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56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120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2,296,571.80</w:t>
            </w:r>
          </w:p>
        </w:tc>
        <w:tc>
          <w:tcPr>
            <w:tcW w:w="120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6"/>
                <w:szCs w:val="16"/>
                <w:u w:val="none"/>
              </w:rPr>
            </w:pPr>
          </w:p>
        </w:tc>
      </w:tr>
    </w:tbl>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30"/>
          <w:szCs w:val="30"/>
          <w:lang w:val="en-US" w:eastAsia="zh-CN"/>
        </w:rPr>
      </w:pPr>
      <w:r>
        <w:rPr>
          <w:rFonts w:hint="eastAsia" w:ascii="仿宋_GB2312" w:hAnsi="仿宋_GB2312" w:eastAsia="仿宋_GB2312" w:cs="仿宋_GB2312"/>
          <w:b/>
          <w:bCs/>
          <w:color w:val="auto"/>
          <w:sz w:val="30"/>
          <w:szCs w:val="30"/>
          <w:lang w:val="zh-CN"/>
        </w:rPr>
        <w:t>附件</w:t>
      </w:r>
      <w:r>
        <w:rPr>
          <w:rFonts w:hint="eastAsia" w:ascii="仿宋_GB2312" w:hAnsi="仿宋_GB2312" w:eastAsia="仿宋_GB2312" w:cs="仿宋_GB2312"/>
          <w:b/>
          <w:bCs/>
          <w:color w:val="auto"/>
          <w:sz w:val="30"/>
          <w:szCs w:val="30"/>
          <w:lang w:val="en-US" w:eastAsia="zh-CN"/>
        </w:rPr>
        <w:t>5：</w:t>
      </w:r>
      <w:r>
        <w:rPr>
          <w:rFonts w:hint="eastAsia" w:ascii="仿宋_GB2312" w:hAnsi="仿宋_GB2312" w:eastAsia="仿宋_GB2312" w:cs="仿宋_GB2312"/>
          <w:b/>
          <w:bCs/>
          <w:color w:val="auto"/>
          <w:sz w:val="30"/>
          <w:szCs w:val="30"/>
          <w:lang w:val="zh-CN"/>
        </w:rPr>
        <w:t>一般公共预算财政拨款支出决算表</w:t>
      </w:r>
    </w:p>
    <w:tbl>
      <w:tblPr>
        <w:tblStyle w:val="3"/>
        <w:tblpPr w:leftFromText="180" w:rightFromText="180" w:vertAnchor="text" w:horzAnchor="page" w:tblpX="849" w:tblpY="93"/>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9"/>
        <w:gridCol w:w="4176"/>
        <w:gridCol w:w="1781"/>
        <w:gridCol w:w="1742"/>
        <w:gridCol w:w="1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08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417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74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7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7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7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4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81"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42"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5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165"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2,296,571.80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2,124,771.80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2012906</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工会事务</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12,420.00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2012901</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1,794,367.00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1,711,267.00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149,425.00</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140,425.00</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财政对职工基本医疗保险基金的补助</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71,871.12</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186,458.04</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8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41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财政对工伤保险基金的补助</w:t>
            </w:r>
          </w:p>
        </w:tc>
        <w:tc>
          <w:tcPr>
            <w:tcW w:w="178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17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2,330.64</w:t>
            </w:r>
          </w:p>
        </w:tc>
        <w:tc>
          <w:tcPr>
            <w:tcW w:w="155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24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32"/>
          <w:szCs w:val="32"/>
          <w:lang w:val="zh-CN"/>
        </w:rPr>
      </w:pPr>
    </w:p>
    <w:p>
      <w:pPr>
        <w:spacing w:before="100" w:beforeLines="0" w:after="100" w:afterLines="0"/>
        <w:jc w:val="left"/>
        <w:rPr>
          <w:rFonts w:hint="eastAsia" w:ascii="仿宋_GB2312" w:hAnsi="仿宋_GB2312" w:eastAsia="仿宋_GB2312" w:cs="仿宋_GB2312"/>
          <w:b/>
          <w:bCs/>
          <w:color w:val="auto"/>
          <w:sz w:val="32"/>
          <w:szCs w:val="32"/>
          <w:lang w:val="zh-CN"/>
        </w:rPr>
      </w:pPr>
    </w:p>
    <w:p>
      <w:pPr>
        <w:spacing w:before="100" w:beforeLines="0" w:after="100" w:afterLines="0"/>
        <w:jc w:val="left"/>
        <w:rPr>
          <w:rFonts w:hint="eastAsia" w:ascii="仿宋_GB2312" w:hAnsi="仿宋_GB2312" w:eastAsia="仿宋_GB2312" w:cs="仿宋_GB2312"/>
          <w:b/>
          <w:bCs/>
          <w:color w:val="auto"/>
          <w:sz w:val="32"/>
          <w:szCs w:val="32"/>
          <w:lang w:val="zh-CN"/>
        </w:rPr>
      </w:pPr>
    </w:p>
    <w:p>
      <w:pPr>
        <w:spacing w:before="100" w:beforeLines="0" w:after="100" w:afterLines="0"/>
        <w:jc w:val="left"/>
        <w:rPr>
          <w:rFonts w:hint="eastAsia" w:ascii="仿宋_GB2312" w:hAnsi="仿宋_GB2312" w:eastAsia="仿宋_GB2312" w:cs="仿宋_GB2312"/>
          <w:b/>
          <w:bCs/>
          <w:color w:val="auto"/>
          <w:sz w:val="32"/>
          <w:szCs w:val="32"/>
          <w:lang w:val="zh-CN"/>
        </w:rPr>
      </w:pPr>
    </w:p>
    <w:p>
      <w:pPr>
        <w:spacing w:before="100" w:beforeLines="0" w:after="100" w:afterLines="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zh-CN"/>
        </w:rPr>
        <w:t>附件</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val="zh-CN"/>
        </w:rPr>
        <w:t>一般公共预算财政拨款支出决算明细表</w:t>
      </w:r>
    </w:p>
    <w:tbl>
      <w:tblPr>
        <w:tblStyle w:val="3"/>
        <w:tblpPr w:leftFromText="180" w:rightFromText="180" w:vertAnchor="text" w:horzAnchor="page" w:tblpX="222" w:tblpY="450"/>
        <w:tblOverlap w:val="never"/>
        <w:tblW w:w="10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6"/>
        <w:gridCol w:w="2376"/>
        <w:gridCol w:w="1296"/>
        <w:gridCol w:w="666"/>
        <w:gridCol w:w="1836"/>
        <w:gridCol w:w="1116"/>
        <w:gridCol w:w="666"/>
        <w:gridCol w:w="237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690"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7200"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1,989,351.80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130,420.00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670,691.70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48,500.00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684,962.00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232,613.30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186,458.04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70,359.12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3,842.64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140,425.00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27,000.00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1,989,351.80</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bidi w:val="0"/>
        <w:spacing w:line="240" w:lineRule="auto"/>
        <w:jc w:val="left"/>
        <w:rPr>
          <w:rFonts w:hint="eastAsia"/>
          <w:lang w:val="en-US" w:eastAsia="zh-CN"/>
        </w:rPr>
      </w:pPr>
    </w:p>
    <w:p>
      <w:pPr>
        <w:bidi w:val="0"/>
        <w:rPr>
          <w:rFonts w:hint="eastAsia" w:eastAsia="宋体" w:asciiTheme="minorHAnsi" w:hAnsiTheme="minorHAnsi" w:cstheme="minorBidi"/>
          <w:kern w:val="2"/>
          <w:sz w:val="21"/>
          <w:lang w:val="en-US" w:eastAsia="zh-CN"/>
        </w:rPr>
      </w:pPr>
    </w:p>
    <w:p>
      <w:pPr>
        <w:spacing w:before="100" w:beforeLines="0" w:after="100" w:afterLines="0"/>
        <w:jc w:val="left"/>
        <w:rPr>
          <w:rFonts w:hint="eastAsia" w:ascii="仿宋_GB2312" w:hAnsi="仿宋_GB2312" w:eastAsia="仿宋_GB2312" w:cs="仿宋_GB2312"/>
          <w:b/>
          <w:bCs/>
          <w:color w:val="auto"/>
          <w:sz w:val="24"/>
          <w:szCs w:val="24"/>
          <w:lang w:val="zh-CN"/>
        </w:rPr>
      </w:pPr>
    </w:p>
    <w:p>
      <w:pPr>
        <w:spacing w:before="100" w:beforeLines="0" w:after="100" w:afterLines="0"/>
        <w:jc w:val="left"/>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zh-CN"/>
        </w:rPr>
        <w:t>附件</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val="zh-CN"/>
        </w:rPr>
        <w:t>政府性基金预算财政拨款收入支出决算表</w:t>
      </w:r>
    </w:p>
    <w:tbl>
      <w:tblPr>
        <w:tblStyle w:val="3"/>
        <w:tblpPr w:leftFromText="180" w:rightFromText="180" w:vertAnchor="text" w:horzAnchor="page" w:tblpX="737" w:tblpY="184"/>
        <w:tblOverlap w:val="never"/>
        <w:tblW w:w="10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1560"/>
        <w:gridCol w:w="1620"/>
        <w:gridCol w:w="1155"/>
        <w:gridCol w:w="945"/>
        <w:gridCol w:w="1125"/>
        <w:gridCol w:w="1470"/>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35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89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9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5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6"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61"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r>
              <w:rPr>
                <w:rFonts w:hint="eastAsia" w:ascii="宋体" w:hAnsi="宋体"/>
                <w:b w:val="0"/>
                <w:bCs w:val="0"/>
                <w:color w:val="auto"/>
                <w:sz w:val="24"/>
                <w:szCs w:val="24"/>
                <w:lang w:val="zh-CN"/>
              </w:rPr>
              <w:t>本部门没有相关数据,故本表无数据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61" w:type="dxa"/>
            <w:gridSpan w:val="8"/>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bidi w:val="0"/>
        <w:jc w:val="left"/>
        <w:rPr>
          <w:rFonts w:hint="eastAsia" w:ascii="仿宋_GB2312" w:hAnsi="仿宋_GB2312" w:eastAsia="仿宋_GB2312" w:cs="仿宋_GB2312"/>
          <w:b/>
          <w:bCs/>
          <w:color w:val="auto"/>
          <w:sz w:val="32"/>
          <w:szCs w:val="32"/>
          <w:lang w:val="zh-CN"/>
        </w:rPr>
      </w:pPr>
      <w:r>
        <w:rPr>
          <w:rFonts w:hint="eastAsia" w:ascii="仿宋_GB2312" w:hAnsi="仿宋_GB2312" w:eastAsia="仿宋_GB2312" w:cs="仿宋_GB2312"/>
          <w:b/>
          <w:bCs/>
          <w:color w:val="auto"/>
          <w:sz w:val="32"/>
          <w:szCs w:val="32"/>
          <w:lang w:val="zh-CN"/>
        </w:rPr>
        <w:t>附件</w:t>
      </w: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lang w:val="zh-CN"/>
        </w:rPr>
        <w:t>国有资本经营预算财政拨款支出决算表</w:t>
      </w:r>
    </w:p>
    <w:tbl>
      <w:tblPr>
        <w:tblStyle w:val="3"/>
        <w:tblpPr w:leftFromText="180" w:rightFromText="180" w:vertAnchor="text" w:horzAnchor="page" w:tblpX="793" w:tblpY="449"/>
        <w:tblOverlap w:val="never"/>
        <w:tblW w:w="10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8"/>
        <w:gridCol w:w="1366"/>
        <w:gridCol w:w="2462"/>
        <w:gridCol w:w="2462"/>
        <w:gridCol w:w="35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244"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46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5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37" w:type="dxa"/>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3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5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705"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70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color w:val="auto"/>
                <w:sz w:val="24"/>
                <w:szCs w:val="24"/>
                <w:lang w:val="zh-CN"/>
              </w:rPr>
              <w:t>本部门没有相关数据,故本表无数据</w:t>
            </w:r>
          </w:p>
        </w:tc>
      </w:tr>
    </w:tbl>
    <w:p>
      <w:pPr>
        <w:pStyle w:val="2"/>
        <w:ind w:left="0" w:leftChars="0" w:firstLine="0" w:firstLineChars="0"/>
        <w:rPr>
          <w:rFonts w:hint="eastAsia" w:ascii="仿宋_GB2312" w:hAnsi="仿宋_GB2312" w:eastAsia="仿宋_GB2312" w:cs="仿宋_GB2312"/>
          <w:b/>
          <w:bCs/>
          <w:color w:val="auto"/>
          <w:sz w:val="32"/>
          <w:szCs w:val="32"/>
          <w:lang w:val="zh-CN"/>
        </w:rPr>
        <w:sectPr>
          <w:type w:val="continuous"/>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pPr>
    </w:p>
    <w:p>
      <w:pPr>
        <w:pStyle w:val="2"/>
        <w:ind w:left="0" w:leftChars="0" w:firstLine="0" w:firstLineChars="0"/>
        <w:rPr>
          <w:rFonts w:hint="eastAsia" w:ascii="仿宋_GB2312" w:hAnsi="仿宋_GB2312" w:eastAsia="仿宋_GB2312" w:cs="仿宋_GB2312"/>
          <w:b/>
          <w:bCs/>
          <w:color w:val="auto"/>
          <w:sz w:val="28"/>
          <w:szCs w:val="28"/>
          <w:lang w:val="zh-CN"/>
        </w:rPr>
      </w:pPr>
      <w:r>
        <w:rPr>
          <w:rFonts w:hint="eastAsia" w:ascii="仿宋_GB2312" w:hAnsi="仿宋_GB2312" w:eastAsia="仿宋_GB2312" w:cs="仿宋_GB2312"/>
          <w:b/>
          <w:bCs/>
          <w:color w:val="auto"/>
          <w:sz w:val="28"/>
          <w:szCs w:val="28"/>
          <w:lang w:val="zh-CN"/>
        </w:rPr>
        <w:t>附件</w:t>
      </w:r>
      <w:r>
        <w:rPr>
          <w:rFonts w:hint="eastAsia" w:ascii="仿宋_GB2312" w:hAnsi="仿宋_GB2312" w:eastAsia="仿宋_GB2312" w:cs="仿宋_GB2312"/>
          <w:b/>
          <w:bCs/>
          <w:color w:val="auto"/>
          <w:sz w:val="28"/>
          <w:szCs w:val="28"/>
          <w:lang w:val="en-US" w:eastAsia="zh-CN"/>
        </w:rPr>
        <w:t>9：</w:t>
      </w:r>
      <w:r>
        <w:rPr>
          <w:rFonts w:hint="eastAsia" w:ascii="仿宋_GB2312" w:hAnsi="仿宋_GB2312" w:eastAsia="仿宋_GB2312" w:cs="仿宋_GB2312"/>
          <w:b/>
          <w:bCs/>
          <w:color w:val="auto"/>
          <w:sz w:val="28"/>
          <w:szCs w:val="28"/>
          <w:lang w:val="zh-CN"/>
        </w:rPr>
        <w:t>财政拨款</w:t>
      </w:r>
      <w:r>
        <w:rPr>
          <w:rFonts w:hint="default" w:ascii="仿宋_GB2312" w:hAnsi="仿宋_GB2312" w:eastAsia="仿宋_GB2312" w:cs="仿宋_GB2312"/>
          <w:b/>
          <w:bCs/>
          <w:color w:val="auto"/>
          <w:sz w:val="28"/>
          <w:szCs w:val="28"/>
          <w:lang w:val="zh-CN"/>
        </w:rPr>
        <w:t>“</w:t>
      </w:r>
      <w:r>
        <w:rPr>
          <w:rFonts w:hint="eastAsia" w:ascii="仿宋_GB2312" w:hAnsi="仿宋_GB2312" w:eastAsia="仿宋_GB2312" w:cs="仿宋_GB2312"/>
          <w:b/>
          <w:bCs/>
          <w:color w:val="auto"/>
          <w:sz w:val="28"/>
          <w:szCs w:val="28"/>
          <w:lang w:val="zh-CN"/>
        </w:rPr>
        <w:t>三公</w:t>
      </w:r>
      <w:r>
        <w:rPr>
          <w:rFonts w:hint="default" w:ascii="仿宋_GB2312" w:hAnsi="仿宋_GB2312" w:eastAsia="仿宋_GB2312" w:cs="仿宋_GB2312"/>
          <w:b/>
          <w:bCs/>
          <w:color w:val="auto"/>
          <w:sz w:val="28"/>
          <w:szCs w:val="28"/>
          <w:lang w:val="zh-CN"/>
        </w:rPr>
        <w:t>”</w:t>
      </w:r>
      <w:r>
        <w:rPr>
          <w:rFonts w:hint="eastAsia" w:ascii="仿宋_GB2312" w:hAnsi="仿宋_GB2312" w:eastAsia="仿宋_GB2312" w:cs="仿宋_GB2312"/>
          <w:b/>
          <w:bCs/>
          <w:color w:val="auto"/>
          <w:sz w:val="28"/>
          <w:szCs w:val="28"/>
          <w:lang w:val="zh-CN"/>
        </w:rPr>
        <w:t>经费支出决算表</w:t>
      </w:r>
    </w:p>
    <w:tbl>
      <w:tblPr>
        <w:tblStyle w:val="3"/>
        <w:tblW w:w="10839" w:type="dxa"/>
        <w:tblInd w:w="-10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9"/>
        <w:gridCol w:w="1173"/>
        <w:gridCol w:w="758"/>
        <w:gridCol w:w="733"/>
        <w:gridCol w:w="863"/>
        <w:gridCol w:w="825"/>
        <w:gridCol w:w="823"/>
        <w:gridCol w:w="837"/>
        <w:gridCol w:w="823"/>
        <w:gridCol w:w="823"/>
        <w:gridCol w:w="825"/>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5601"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5238"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7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35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82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3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2471"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10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7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7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2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8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8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10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7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3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23"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10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12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7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10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10839" w:type="dxa"/>
            <w:gridSpan w:val="1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4" w:hRule="atLeast"/>
        </w:trPr>
        <w:tc>
          <w:tcPr>
            <w:tcW w:w="10839"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r>
              <w:rPr>
                <w:rFonts w:hint="eastAsia" w:ascii="宋体" w:hAnsi="宋体"/>
                <w:b w:val="0"/>
                <w:bCs w:val="0"/>
                <w:color w:val="auto"/>
                <w:sz w:val="24"/>
                <w:szCs w:val="24"/>
                <w:lang w:val="zh-CN"/>
              </w:rPr>
              <w:t>本部门没有相关数据,故本表无数据</w:t>
            </w:r>
          </w:p>
        </w:tc>
      </w:tr>
    </w:tbl>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p>
    <w:p>
      <w:pPr>
        <w:pStyle w:val="2"/>
        <w:rPr>
          <w:rFonts w:hint="eastAsia"/>
          <w:lang w:val="en-US" w:eastAsia="zh-CN"/>
        </w:rPr>
        <w:sectPr>
          <w:type w:val="continuous"/>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pPr>
    </w:p>
    <w:p>
      <w:pPr>
        <w:rPr>
          <w:rFonts w:hint="default"/>
          <w:lang w:val="en-US" w:eastAsia="zh-CN"/>
        </w:rPr>
      </w:pPr>
    </w:p>
    <w:sectPr>
      <w:type w:val="continuous"/>
      <w:pgSz w:w="12240" w:h="15840"/>
      <w:pgMar w:top="1440" w:right="1800" w:bottom="1440" w:left="1800" w:header="720" w:footer="720" w:gutter="0"/>
      <w:pgBorders>
        <w:top w:val="none" w:sz="0" w:space="0"/>
        <w:left w:val="none" w:sz="0" w:space="0"/>
        <w:bottom w:val="none" w:sz="0" w:space="0"/>
        <w:right w:val="none" w:sz="0" w:space="0"/>
      </w:pgBorders>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41E7499D"/>
    <w:multiLevelType w:val="singleLevel"/>
    <w:tmpl w:val="41E7499D"/>
    <w:lvl w:ilvl="0" w:tentative="0">
      <w:start w:val="1"/>
      <w:numFmt w:val="decimal"/>
      <w:suff w:val="nothing"/>
      <w:lvlText w:val="%1．"/>
      <w:lvlJc w:val="left"/>
      <w:rPr>
        <w:rFonts w:hint="default"/>
        <w:b/>
        <w:bCs/>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MmQ5YjlkOWQ2OWQ4NTY2ZTM2NDYyMTM1OWI2ODIifQ=="/>
  </w:docVars>
  <w:rsids>
    <w:rsidRoot w:val="00000000"/>
    <w:rsid w:val="010B405F"/>
    <w:rsid w:val="01A26DB8"/>
    <w:rsid w:val="02557C87"/>
    <w:rsid w:val="05631E4B"/>
    <w:rsid w:val="0C2F0D65"/>
    <w:rsid w:val="0C2F32F7"/>
    <w:rsid w:val="0C3B25B0"/>
    <w:rsid w:val="0EB57A4D"/>
    <w:rsid w:val="11BF000F"/>
    <w:rsid w:val="153E0A4F"/>
    <w:rsid w:val="173F3135"/>
    <w:rsid w:val="19724922"/>
    <w:rsid w:val="1A99620C"/>
    <w:rsid w:val="1B776FFE"/>
    <w:rsid w:val="1D9A07EC"/>
    <w:rsid w:val="230B0402"/>
    <w:rsid w:val="240C2198"/>
    <w:rsid w:val="24F67633"/>
    <w:rsid w:val="254554E2"/>
    <w:rsid w:val="28BC3D0D"/>
    <w:rsid w:val="2E7A26A0"/>
    <w:rsid w:val="337A0A4C"/>
    <w:rsid w:val="358931C8"/>
    <w:rsid w:val="37F87A04"/>
    <w:rsid w:val="385F328F"/>
    <w:rsid w:val="3B255741"/>
    <w:rsid w:val="3D874EE8"/>
    <w:rsid w:val="40A635C4"/>
    <w:rsid w:val="46C2653A"/>
    <w:rsid w:val="484336AB"/>
    <w:rsid w:val="48B16866"/>
    <w:rsid w:val="4A5A1A26"/>
    <w:rsid w:val="4AC26B09"/>
    <w:rsid w:val="52C8312A"/>
    <w:rsid w:val="5AAB78BC"/>
    <w:rsid w:val="5AB07460"/>
    <w:rsid w:val="5BA1276A"/>
    <w:rsid w:val="5D445AA3"/>
    <w:rsid w:val="662745B6"/>
    <w:rsid w:val="67340937"/>
    <w:rsid w:val="67472418"/>
    <w:rsid w:val="6A1F1208"/>
    <w:rsid w:val="6BCF204C"/>
    <w:rsid w:val="6C561B3F"/>
    <w:rsid w:val="6FCD1928"/>
    <w:rsid w:val="703B0F7D"/>
    <w:rsid w:val="71477B07"/>
    <w:rsid w:val="722647FD"/>
    <w:rsid w:val="73D74B24"/>
    <w:rsid w:val="745B7503"/>
    <w:rsid w:val="75D03F20"/>
    <w:rsid w:val="785D5F3F"/>
    <w:rsid w:val="7989046F"/>
    <w:rsid w:val="79CE4C1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2c31580c-7ea6-4e68-8ca3-fa5ed42f5baf}">
  <ds:schemaRefs/>
</ds:datastoreItem>
</file>

<file path=customXml/itemProps2.xml><?xml version="1.0" encoding="utf-8"?>
<ds:datastoreItem xmlns:ds="http://schemas.openxmlformats.org/officeDocument/2006/customXml" ds:itemID="{0fc2d4c7-462f-4015-8da3-bb6ce0b5f828}">
  <ds:schemaRefs/>
</ds:datastoreItem>
</file>

<file path=customXml/itemProps3.xml><?xml version="1.0" encoding="utf-8"?>
<ds:datastoreItem xmlns:ds="http://schemas.openxmlformats.org/officeDocument/2006/customXml" ds:itemID="{ac342d75-52a3-41fa-8576-633985ee0b93}">
  <ds:schemaRefs/>
</ds:datastoreItem>
</file>

<file path=customXml/itemProps4.xml><?xml version="1.0" encoding="utf-8"?>
<ds:datastoreItem xmlns:ds="http://schemas.openxmlformats.org/officeDocument/2006/customXml" ds:itemID="{ca193630-0a1d-4dd7-a024-f751480daadd}">
  <ds:schemaRefs/>
</ds:datastoreItem>
</file>

<file path=customXml/itemProps5.xml><?xml version="1.0" encoding="utf-8"?>
<ds:datastoreItem xmlns:ds="http://schemas.openxmlformats.org/officeDocument/2006/customXml" ds:itemID="{78a6058f-5860-47d9-95e5-31dc20c3328e}">
  <ds:schemaRefs/>
</ds:datastoreItem>
</file>

<file path=customXml/itemProps6.xml><?xml version="1.0" encoding="utf-8"?>
<ds:datastoreItem xmlns:ds="http://schemas.openxmlformats.org/officeDocument/2006/customXml" ds:itemID="{28083f2e-83b4-4328-a8c9-4128f97dc9c3}">
  <ds:schemaRefs/>
</ds:datastoreItem>
</file>

<file path=customXml/itemProps7.xml><?xml version="1.0" encoding="utf-8"?>
<ds:datastoreItem xmlns:ds="http://schemas.openxmlformats.org/officeDocument/2006/customXml" ds:itemID="{83eadc55-a53d-4210-9a63-869d68c9c2db}">
  <ds:schemaRefs/>
</ds:datastoreItem>
</file>

<file path=customXml/itemProps8.xml><?xml version="1.0" encoding="utf-8"?>
<ds:datastoreItem xmlns:ds="http://schemas.openxmlformats.org/officeDocument/2006/customXml" ds:itemID="{b50d1bd0-0074-418b-8a43-ebe0e5abca77}">
  <ds:schemaRefs/>
</ds:datastoreItem>
</file>

<file path=customXml/itemProps9.xml><?xml version="1.0" encoding="utf-8"?>
<ds:datastoreItem xmlns:ds="http://schemas.openxmlformats.org/officeDocument/2006/customXml" ds:itemID="{abe644c8-6dfb-4251-930c-816fe1b30bb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7317</Words>
  <Characters>9614</Characters>
  <Lines>0</Lines>
  <Paragraphs>0</Paragraphs>
  <TotalTime>1</TotalTime>
  <ScaleCrop>false</ScaleCrop>
  <LinksUpToDate>false</LinksUpToDate>
  <CharactersWithSpaces>9783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2024-09-06T04:03:07Z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F304D6E81C69480781481DAFE541347A_13</vt:lpwstr>
  </property>
</Properties>
</file>