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东乡族自治县中报希望学校部门决算</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b/>
          <w:sz w:val="24"/>
          <w:szCs w:val="24"/>
          <w:lang w:val="zh-CN"/>
        </w:rPr>
      </w:pPr>
    </w:p>
    <w:p>
      <w:pPr>
        <w:spacing w:before="100" w:beforeLines="0" w:after="100" w:afterLines="0"/>
        <w:jc w:val="center"/>
        <w:rPr>
          <w:rFonts w:hint="eastAsia" w:ascii="宋体" w:hAnsi="宋体"/>
          <w:b/>
          <w:sz w:val="24"/>
          <w:szCs w:val="24"/>
          <w:lang w:val="zh-CN"/>
        </w:rPr>
      </w:pPr>
    </w:p>
    <w:p>
      <w:pPr>
        <w:spacing w:before="100" w:beforeLines="0" w:after="100" w:afterLines="0"/>
        <w:jc w:val="center"/>
        <w:rPr>
          <w:rFonts w:hint="eastAsia" w:ascii="宋体" w:hAnsi="宋体"/>
          <w:b/>
          <w:sz w:val="24"/>
          <w:szCs w:val="24"/>
          <w:lang w:val="zh-CN"/>
        </w:rPr>
      </w:pPr>
    </w:p>
    <w:p>
      <w:pPr>
        <w:spacing w:before="100" w:beforeLines="0" w:after="100" w:afterLines="0"/>
        <w:jc w:val="center"/>
        <w:rPr>
          <w:rFonts w:hint="eastAsia" w:ascii="宋体" w:hAnsi="宋体"/>
          <w:b/>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pPr>
        <w:numPr>
          <w:ilvl w:val="0"/>
          <w:numId w:val="1"/>
        </w:numPr>
        <w:spacing w:before="100" w:beforeLines="0" w:after="100" w:afterLines="0"/>
        <w:jc w:val="left"/>
        <w:rPr>
          <w:rFonts w:hint="eastAsia" w:ascii="宋体" w:hAnsi="宋体"/>
          <w:sz w:val="24"/>
          <w:szCs w:val="24"/>
          <w:lang w:val="zh-CN"/>
        </w:rPr>
      </w:pPr>
      <w:r>
        <w:rPr>
          <w:rFonts w:hint="eastAsia" w:ascii="宋体" w:hAnsi="宋体"/>
          <w:sz w:val="24"/>
          <w:szCs w:val="24"/>
          <w:lang w:val="zh-CN"/>
        </w:rPr>
        <w:t>部门职责</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center"/>
        <w:rPr>
          <w:rFonts w:hint="eastAsia" w:ascii="宋体" w:hAnsi="宋体"/>
          <w:sz w:val="24"/>
          <w:szCs w:val="24"/>
          <w:lang w:val="zh-CN"/>
        </w:rPr>
      </w:pPr>
    </w:p>
    <w:p>
      <w:pPr>
        <w:spacing w:before="100" w:beforeLines="0" w:after="100" w:afterLines="0"/>
        <w:jc w:val="both"/>
        <w:rPr>
          <w:rFonts w:hint="eastAsia" w:ascii="宋体" w:hAnsi="宋体"/>
          <w:b/>
          <w:sz w:val="24"/>
          <w:szCs w:val="24"/>
          <w:lang w:val="zh-CN"/>
        </w:rPr>
      </w:pPr>
    </w:p>
    <w:p>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(一)制定符合党的教育方针和国家教育法律法规的小学教育发展规划并抓好组织实施和落实工作。</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(二)贯彻、执行教育法律法规和政策规定，坚持依法治教、 依法治学。巩固提高“两基”工作成果和整体水平，配合教育局 依法动员、组织适龄儿童少年入学，严格控制辍学，巩固两基成果。</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(三)指导、管理、检查、评价学区内学校的教育教学工作，提高办学质量和办学效益。</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(四)负责教育教学管理及教研教改工作，全力推进素质教育实施。</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(五)协助上级教育主管部门做好学区教师考核工作，负责教师管理、继续教育、考核考评等工作。</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(六)负责财务管理，筹措资金，改善办学条件等工作。</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(七)完成当地政府和教育部门安排的各项工作任务。</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二、机构设置</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根据上述职责，东乡族自治县中报希望学校(沿岭学区)及 下设4个村校：和平小学、新星小学、红崖小学，三合沟小学均内设3个职能处(组、室):</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1. 办公室</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主要职责： 配合教育局制定符合党的教育方针和国家教育法 律法规的教育发展规划并抓好组织实施和落实工作；贯彻、执行 教育法律法规和政策规定，坚持依法治教、依法治学。巩固提高 “两基”工作成果和整体水平，配合教育局依法动员、组织适龄 儿童少年入学，严格控制辍学，推进普及九年义务教育；指导、 管理、检查、评价学校的教育教学工作，提高办学质量和办学效 益；负责教育教学管理及教研教改工作，全力推进素质教育实施； 协助上级教育主管部门做好学校教师考核工作，负责教师管理、 继续教育、考核考评等工作；负责财务管理，筹措资金，改善办学条件等工作。</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2.教务处</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主要职责：协助校长制定并实施教育、教学工作计划；检查 并总结学校的教育教学工作；组织管理教学工作，指导各科教师 贯彻课程标准，执行教学计划，开展各种教学、教研活动，提高 教学质量；协助校长室、党支部、少先队对学生进行思想政治教 育，有针对性的开展教育活动，向学生进行劳动教育，组织校外 活动和家长会；组织安排学生的体育卫生和生活管理工作，抓好 “两课”、  “两操” (体育课、活动课、课间操、眼保健操和大 课间活动)和学校体育运动会。搞好卫生保健工作，关心师生的  身心健康；组织有关人员搞好招生、编班、学籍管理、考勤考绩、课程表编排、资料以及资料室、图书室、实验室、电教室的有关工作；每学期末对教学工作，思想教育工作和体育卫生工作，进 行一次书面总结，向校长汇报。组织教师总结教学经验，积极开展期末或学年末的评优奖励活动。</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3.教研组</w:t>
      </w:r>
    </w:p>
    <w:p>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主要职责： 领导并定期召开教研组会议，指导教研组制订具 体教学工作计划，指导教研组的研究活动，帮助教研组总结交流教学经验；深入课堂听课，定期召开部分教师和学生的座谈会；组织好“三课”(示范课、公开课、优质课),对外公开课的赛教 活动；组织开展学科竞赛和各科课外科技活动；负责科研课题的 实施；与教导处共同负责“教坛新秀”、  “教学能手”、 “学科带头人”的评选推荐工作。</w:t>
      </w:r>
    </w:p>
    <w:p>
      <w:pPr>
        <w:spacing w:before="100" w:beforeLines="0" w:after="100" w:afterLines="0"/>
        <w:jc w:val="left"/>
        <w:rPr>
          <w:rFonts w:hint="eastAsia" w:ascii="宋体" w:hAnsi="宋体"/>
          <w:sz w:val="24"/>
          <w:szCs w:val="24"/>
          <w:lang w:val="zh-CN"/>
        </w:rPr>
        <w:sectPr>
          <w:footerReference r:id="rId3" w:type="default"/>
          <w:pgSz w:w="11910" w:h="16850"/>
          <w:pgMar w:top="548" w:right="1135" w:bottom="1125" w:left="1530" w:header="0" w:footer="976" w:gutter="0"/>
          <w:cols w:space="720" w:num="1"/>
        </w:sectPr>
      </w:pP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pPr>
        <w:numPr>
          <w:ilvl w:val="0"/>
          <w:numId w:val="2"/>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收入支出决算总表</w:t>
      </w:r>
    </w:p>
    <w:p>
      <w:pPr>
        <w:numPr>
          <w:numId w:val="0"/>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object>
          <v:shape id="_x0000_i1025" o:spt="75" type="#_x0000_t75" style="height:330.5pt;width:431.45pt;" o:ole="t" filled="f" o:preferrelative="t" stroked="f" coordsize="21600,21600">
            <v:path/>
            <v:fill on="f" focussize="0,0"/>
            <v:stroke on="f"/>
            <v:imagedata r:id="rId7" o:title=""/>
            <o:lock v:ext="edit" aspectratio="f"/>
            <w10:wrap type="none"/>
            <w10:anchorlock/>
          </v:shape>
          <o:OLEObject Type="Embed" ProgID="Excel.Sheet.12" ShapeID="_x0000_i1025" DrawAspect="Content" ObjectID="_1468075725" r:id="rId6">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收入决算表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6" o:spt="75" type="#_x0000_t75" style="height:181.2pt;width:428.9pt;" o:ole="t" filled="f" o:preferrelative="t" stroked="f" coordsize="21600,21600">
            <v:path/>
            <v:fill on="f" focussize="0,0"/>
            <v:stroke on="f"/>
            <v:imagedata r:id="rId9" o:title=""/>
            <o:lock v:ext="edit" aspectratio="f"/>
            <w10:wrap type="none"/>
            <w10:anchorlock/>
          </v:shape>
          <o:OLEObject Type="Embed" ProgID="Excel.Sheet.12" ShapeID="_x0000_i1026" DrawAspect="Content" ObjectID="_1468075726" r:id="rId8">
            <o:LockedField>false</o:LockedField>
          </o:OLEObject>
        </w:object>
      </w:r>
    </w:p>
    <w:p>
      <w:pPr>
        <w:numPr>
          <w:numId w:val="0"/>
        </w:numPr>
        <w:spacing w:before="100" w:beforeLines="0" w:after="100" w:afterLines="0"/>
        <w:ind w:leftChars="0"/>
        <w:jc w:val="left"/>
        <w:rPr>
          <w:rFonts w:hint="eastAsia" w:ascii="宋体" w:hAnsi="宋体"/>
          <w:color w:val="auto"/>
          <w:sz w:val="24"/>
          <w:szCs w:val="24"/>
          <w:lang w:val="zh-CN"/>
        </w:rPr>
      </w:pPr>
    </w:p>
    <w:p>
      <w:pPr>
        <w:numPr>
          <w:numId w:val="0"/>
        </w:numPr>
        <w:spacing w:before="100" w:beforeLines="0" w:after="100" w:afterLines="0"/>
        <w:ind w:leftChars="0"/>
        <w:jc w:val="left"/>
        <w:rPr>
          <w:rFonts w:hint="eastAsia" w:ascii="宋体" w:hAnsi="宋体"/>
          <w:color w:val="auto"/>
          <w:sz w:val="24"/>
          <w:szCs w:val="24"/>
          <w:lang w:val="zh-CN"/>
        </w:rPr>
      </w:pP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支出决算表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7" o:spt="75" type="#_x0000_t75" style="height:148.65pt;width:431.95pt;" o:ole="t" filled="f" o:preferrelative="t" stroked="f" coordsize="21600,21600">
            <v:path/>
            <v:fill on="f" focussize="0,0"/>
            <v:stroke on="f"/>
            <v:imagedata r:id="rId11" o:title=""/>
            <o:lock v:ext="edit" aspectratio="f"/>
            <w10:wrap type="none"/>
            <w10:anchorlock/>
          </v:shape>
          <o:OLEObject Type="Embed" ProgID="Excel.Sheet.12" ShapeID="_x0000_i1027" DrawAspect="Content" ObjectID="_1468075727" r:id="rId10">
            <o:LockedField>false</o:LockedField>
          </o:OLEObject>
        </w:object>
      </w:r>
    </w:p>
    <w:p>
      <w:pPr>
        <w:numPr>
          <w:numId w:val="0"/>
        </w:numPr>
        <w:spacing w:before="100" w:beforeLines="0" w:after="100" w:afterLines="0"/>
        <w:ind w:leftChars="0"/>
        <w:jc w:val="left"/>
        <w:rPr>
          <w:rFonts w:hint="eastAsia" w:ascii="宋体" w:hAnsi="宋体"/>
          <w:color w:val="auto"/>
          <w:sz w:val="24"/>
          <w:szCs w:val="24"/>
          <w:lang w:val="zh-CN"/>
        </w:rPr>
      </w:pPr>
    </w:p>
    <w:p>
      <w:pPr>
        <w:numPr>
          <w:numId w:val="0"/>
        </w:numPr>
        <w:spacing w:before="100" w:beforeLines="0" w:after="100" w:afterLines="0"/>
        <w:ind w:leftChars="0"/>
        <w:jc w:val="left"/>
        <w:rPr>
          <w:rFonts w:hint="eastAsia" w:ascii="宋体" w:hAnsi="宋体"/>
          <w:color w:val="auto"/>
          <w:sz w:val="24"/>
          <w:szCs w:val="24"/>
          <w:lang w:val="zh-CN"/>
        </w:rPr>
      </w:pPr>
    </w:p>
    <w:p>
      <w:pPr>
        <w:numPr>
          <w:numId w:val="0"/>
        </w:numPr>
        <w:spacing w:before="100" w:beforeLines="0" w:after="100" w:afterLines="0"/>
        <w:ind w:leftChars="0"/>
        <w:jc w:val="left"/>
        <w:rPr>
          <w:rFonts w:hint="eastAsia" w:ascii="宋体" w:hAnsi="宋体"/>
          <w:color w:val="auto"/>
          <w:sz w:val="24"/>
          <w:szCs w:val="24"/>
          <w:lang w:val="zh-CN"/>
        </w:rPr>
      </w:pPr>
    </w:p>
    <w:p>
      <w:pPr>
        <w:numPr>
          <w:numId w:val="0"/>
        </w:numPr>
        <w:spacing w:before="100" w:beforeLines="0" w:after="100" w:afterLines="0"/>
        <w:ind w:leftChars="0"/>
        <w:jc w:val="left"/>
        <w:rPr>
          <w:rFonts w:hint="eastAsia" w:ascii="宋体" w:hAnsi="宋体"/>
          <w:color w:val="auto"/>
          <w:sz w:val="24"/>
          <w:szCs w:val="24"/>
          <w:lang w:val="zh-CN"/>
        </w:rPr>
      </w:pP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财政拨款收入支出决算总表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28" o:spt="75" type="#_x0000_t75" style="height:295.85pt;width:431.3pt;" o:ole="t" filled="f" o:preferrelative="t" stroked="f" coordsize="21600,21600">
            <v:path/>
            <v:fill on="f" focussize="0,0"/>
            <v:stroke on="f"/>
            <v:imagedata r:id="rId13" o:title=""/>
            <o:lock v:ext="edit" aspectratio="f"/>
            <w10:wrap type="none"/>
            <w10:anchorlock/>
          </v:shape>
          <o:OLEObject Type="Embed" ProgID="Excel.Sheet.12" ShapeID="_x0000_i1028" DrawAspect="Content" ObjectID="_1468075728" r:id="rId12">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一般公共预算财政拨款支出决算表</w:t>
      </w:r>
      <w:r>
        <w:rPr>
          <w:rFonts w:hint="eastAsia" w:ascii="宋体" w:hAnsi="宋体"/>
          <w:color w:val="auto"/>
          <w:sz w:val="24"/>
          <w:szCs w:val="24"/>
          <w:lang w:val="zh-CN"/>
        </w:rPr>
        <w:object>
          <v:shape id="_x0000_i1030" o:spt="75" alt="" type="#_x0000_t75" style="height:174.65pt;width:422.8pt;" o:ole="t" filled="f" o:preferrelative="t" stroked="f" coordsize="21600,21600">
            <v:path/>
            <v:fill on="f" focussize="0,0"/>
            <v:stroke on="f"/>
            <v:imagedata r:id="rId15" o:title=""/>
            <o:lock v:ext="edit" aspectratio="f"/>
            <w10:wrap type="none"/>
            <w10:anchorlock/>
          </v:shape>
          <o:OLEObject Type="Embed" ProgID="Excel.Sheet.12" ShapeID="_x0000_i1030" DrawAspect="Content" ObjectID="_1468075729" r:id="rId14">
            <o:LockedField>false</o:LockedField>
          </o:OLEObject>
        </w:object>
      </w: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一般公共预算财政拨款基本支出决算明细表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1" o:spt="75" type="#_x0000_t75" style="height:232pt;width:431.75pt;" o:ole="t" filled="f" o:preferrelative="t" stroked="f" coordsize="21600,21600">
            <v:path/>
            <v:fill on="f" focussize="0,0"/>
            <v:stroke on="f"/>
            <v:imagedata r:id="rId17" o:title=""/>
            <o:lock v:ext="edit" aspectratio="f"/>
            <w10:wrap type="none"/>
            <w10:anchorlock/>
          </v:shape>
          <o:OLEObject Type="Embed" ProgID="Excel.Sheet.12" ShapeID="_x0000_i1031" DrawAspect="Content" ObjectID="_1468075730" r:id="rId16">
            <o:LockedField>false</o:LockedField>
          </o:OLEObject>
        </w:object>
      </w:r>
    </w:p>
    <w:p>
      <w:pPr>
        <w:numPr>
          <w:numId w:val="0"/>
        </w:numPr>
        <w:spacing w:before="100" w:beforeLines="0" w:after="100" w:afterLines="0"/>
        <w:ind w:leftChars="0"/>
        <w:jc w:val="left"/>
        <w:rPr>
          <w:rFonts w:hint="eastAsia" w:ascii="宋体" w:hAnsi="宋体"/>
          <w:color w:val="auto"/>
          <w:sz w:val="24"/>
          <w:szCs w:val="24"/>
          <w:lang w:val="zh-CN"/>
        </w:rPr>
      </w:pP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政府性基金预算财政拨款收入支出决算表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2" o:spt="75" type="#_x0000_t75" style="height:104.95pt;width:428.15pt;" o:ole="t" filled="f" o:preferrelative="t" stroked="f" coordsize="21600,21600">
            <v:path/>
            <v:fill on="f" focussize="0,0"/>
            <v:stroke on="f"/>
            <v:imagedata r:id="rId19" o:title=""/>
            <o:lock v:ext="edit" aspectratio="f"/>
            <w10:wrap type="none"/>
            <w10:anchorlock/>
          </v:shape>
          <o:OLEObject Type="Embed" ProgID="Excel.Sheet.12" ShapeID="_x0000_i1032" DrawAspect="Content" ObjectID="_1468075731" r:id="rId18">
            <o:LockedField>false</o:LockedField>
          </o:OLEObject>
        </w:object>
      </w:r>
    </w:p>
    <w:p>
      <w:pPr>
        <w:numPr>
          <w:numId w:val="0"/>
        </w:numPr>
        <w:spacing w:before="100" w:beforeLines="0" w:after="100" w:afterLines="0"/>
        <w:ind w:leftChars="0"/>
        <w:jc w:val="left"/>
        <w:rPr>
          <w:rFonts w:hint="eastAsia" w:ascii="宋体" w:hAnsi="宋体"/>
          <w:color w:val="auto"/>
          <w:sz w:val="24"/>
          <w:szCs w:val="24"/>
          <w:lang w:val="zh-CN"/>
        </w:rPr>
      </w:pP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国有资本经营预算财政拨款支出决算表</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object>
          <v:shape id="_x0000_i1034" o:spt="75" type="#_x0000_t75" style="height:104.55pt;width:431.9pt;" o:ole="t" filled="f" o:preferrelative="t" stroked="f" coordsize="21600,21600">
            <v:path/>
            <v:fill on="f" focussize="0,0"/>
            <v:stroke on="f"/>
            <v:imagedata r:id="rId21" o:title=""/>
            <o:lock v:ext="edit" aspectratio="f"/>
            <w10:wrap type="none"/>
            <w10:anchorlock/>
          </v:shape>
          <o:OLEObject Type="Embed" ProgID="Excel.Sheet.12" ShapeID="_x0000_i1034" DrawAspect="Content" ObjectID="_1468075732" r:id="rId20">
            <o:LockedField>false</o:LockedField>
          </o:OLEObject>
        </w:object>
      </w:r>
    </w:p>
    <w:p>
      <w:pPr>
        <w:spacing w:before="100" w:beforeLines="0" w:after="100" w:afterLines="0"/>
        <w:jc w:val="left"/>
        <w:rPr>
          <w:rFonts w:hint="eastAsia" w:ascii="宋体" w:hAnsi="宋体"/>
          <w:color w:val="auto"/>
          <w:sz w:val="24"/>
          <w:szCs w:val="24"/>
          <w:lang w:val="zh-CN"/>
        </w:rPr>
      </w:pPr>
    </w:p>
    <w:p>
      <w:pPr>
        <w:spacing w:before="100" w:beforeLines="0" w:after="100" w:afterLines="0"/>
        <w:jc w:val="left"/>
        <w:rPr>
          <w:rFonts w:hint="eastAsia" w:ascii="宋体" w:hAnsi="宋体"/>
          <w:color w:val="auto"/>
          <w:sz w:val="24"/>
          <w:szCs w:val="24"/>
          <w:lang w:val="zh-CN"/>
        </w:rPr>
      </w:pPr>
    </w:p>
    <w:p>
      <w:pPr>
        <w:numPr>
          <w:ilvl w:val="0"/>
          <w:numId w:val="2"/>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p>
    <w:p>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object>
          <v:shape id="_x0000_i1035" o:spt="75" type="#_x0000_t75" style="height:86.55pt;width:431.85pt;" o:ole="t" filled="f" o:preferrelative="t" stroked="f" coordsize="21600,21600">
            <v:path/>
            <v:fill on="f" focussize="0,0"/>
            <v:stroke on="f"/>
            <v:imagedata r:id="rId23" o:title=""/>
            <o:lock v:ext="edit" aspectratio="f"/>
            <w10:wrap type="none"/>
            <w10:anchorlock/>
          </v:shape>
          <o:OLEObject Type="Embed" ProgID="Excel.Sheet.12" ShapeID="_x0000_i1035" DrawAspect="Content" ObjectID="_1468075733" r:id="rId22">
            <o:LockedField>false</o:LockedField>
          </o:OLEObject>
        </w:object>
      </w: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center"/>
        <w:rPr>
          <w:rFonts w:hint="eastAsia" w:ascii="宋体" w:hAnsi="宋体"/>
          <w:b/>
          <w:color w:val="auto"/>
          <w:sz w:val="24"/>
          <w:szCs w:val="24"/>
          <w:lang w:val="zh-CN"/>
        </w:rPr>
      </w:pPr>
    </w:p>
    <w:p>
      <w:pPr>
        <w:spacing w:before="100" w:beforeLines="0" w:after="100" w:afterLines="0"/>
        <w:jc w:val="both"/>
        <w:rPr>
          <w:rFonts w:hint="eastAsia" w:ascii="宋体" w:hAnsi="宋体"/>
          <w:b/>
          <w:color w:val="auto"/>
          <w:sz w:val="24"/>
          <w:szCs w:val="24"/>
          <w:lang w:val="zh-CN"/>
        </w:rPr>
      </w:pPr>
    </w:p>
    <w:p>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1335.04万元。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增加214.83万元,增长19.18%,主要原因是</w:t>
      </w:r>
      <w:r>
        <w:rPr>
          <w:rFonts w:hint="eastAsia" w:ascii="宋体" w:hAnsi="宋体"/>
          <w:color w:val="auto"/>
          <w:sz w:val="24"/>
          <w:szCs w:val="24"/>
          <w:lang w:val="en-US" w:eastAsia="zh-CN"/>
        </w:rPr>
        <w:t>教师数增加相应的社会保障基数增加</w:t>
      </w:r>
      <w:r>
        <w:rPr>
          <w:rFonts w:hint="eastAsia" w:ascii="宋体" w:hAnsi="宋体"/>
          <w:color w:val="FF0000"/>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color w:val="auto"/>
          <w:sz w:val="24"/>
          <w:szCs w:val="24"/>
          <w:lang w:val="zh-CN"/>
        </w:rPr>
        <w:t>2023年度收入合计1246.76万元,其中：财政拨款收入1246.76万元,占100.00%；</w:t>
      </w:r>
      <w:r>
        <w:rPr>
          <w:rFonts w:hint="eastAsia" w:ascii="宋体" w:hAnsi="宋体"/>
          <w:b/>
          <w:bCs/>
          <w:color w:val="auto"/>
          <w:sz w:val="24"/>
          <w:szCs w:val="24"/>
          <w:lang w:val="zh-CN" w:eastAsia="zh-CN"/>
        </w:rPr>
        <w:t>三、支出决算情况说明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2023年度支出合计1335.04万元,其中：基本支出1144.57万元,占85.73%；项目支出190.47万元,占14.27%；</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1335.04万元。与</w:t>
      </w:r>
      <w:r>
        <w:rPr>
          <w:rFonts w:hint="eastAsia" w:ascii="宋体" w:hAnsi="宋体"/>
          <w:color w:val="auto"/>
          <w:sz w:val="24"/>
          <w:szCs w:val="24"/>
          <w:lang w:val="en-US"/>
        </w:rPr>
        <w:t>上</w:t>
      </w:r>
      <w:r>
        <w:rPr>
          <w:rFonts w:hint="eastAsia" w:ascii="宋体" w:hAnsi="宋体"/>
          <w:color w:val="auto"/>
          <w:sz w:val="24"/>
          <w:szCs w:val="24"/>
          <w:lang w:val="zh-CN"/>
        </w:rPr>
        <w:t>年相比,各增加214.83万元,增长19.18%。主要原因是</w:t>
      </w:r>
      <w:r>
        <w:rPr>
          <w:rFonts w:hint="eastAsia" w:ascii="宋体" w:hAnsi="宋体"/>
          <w:color w:val="auto"/>
          <w:sz w:val="24"/>
          <w:szCs w:val="24"/>
          <w:lang w:val="en-US" w:eastAsia="zh-CN"/>
        </w:rPr>
        <w:t>教师数增加相应的社会保障基数增加</w:t>
      </w:r>
      <w:r>
        <w:rPr>
          <w:rFonts w:hint="eastAsia" w:ascii="宋体" w:hAnsi="宋体"/>
          <w:color w:val="FF0000"/>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2023年度一般公共预算财政拨款支出1334.04万元,较上年决算数增加304.11万元,增长29.53%。主要原因是</w:t>
      </w:r>
      <w:r>
        <w:rPr>
          <w:rFonts w:hint="eastAsia" w:ascii="宋体" w:hAnsi="宋体"/>
          <w:color w:val="auto"/>
          <w:sz w:val="24"/>
          <w:szCs w:val="24"/>
          <w:lang w:val="en-US" w:eastAsia="zh-CN"/>
        </w:rPr>
        <w:t>教师数增加相应的社会保障基数增加</w:t>
      </w:r>
      <w:r>
        <w:rPr>
          <w:rFonts w:hint="eastAsia" w:ascii="宋体" w:hAnsi="宋体"/>
          <w:color w:val="FF0000"/>
          <w:sz w:val="24"/>
          <w:szCs w:val="24"/>
          <w:lang w:val="zh-CN"/>
        </w:rPr>
        <w:t>。</w:t>
      </w:r>
    </w:p>
    <w:p>
      <w:pPr>
        <w:numPr>
          <w:ilvl w:val="0"/>
          <w:numId w:val="3"/>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1334.04万元，主要用于以下方面：一般公共服务支出5.13万元,占0.38%；教育支出1038.23万元,占77.83%；社会保障和就业支出162.94万元,占12.21%；卫生健康支出52.19万元,占3.91%；住房保障支出75.57万元,占5.66%。</w:t>
      </w:r>
    </w:p>
    <w:p>
      <w:pPr>
        <w:numPr>
          <w:ilvl w:val="0"/>
          <w:numId w:val="3"/>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1334.04万元,支出决算为1334.04万元,完成年初预算的100.0%。其中：</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年初预算数为5.13万元,支出决算为5.13万元,完成年初预算的100.0%,决算数小于预算数的主要原因是</w:t>
      </w:r>
      <w:r>
        <w:rPr>
          <w:rFonts w:hint="eastAsia" w:ascii="宋体" w:hAnsi="宋体"/>
          <w:color w:val="auto"/>
          <w:sz w:val="24"/>
          <w:szCs w:val="24"/>
          <w:lang w:val="en-US" w:eastAsia="zh-CN"/>
        </w:rPr>
        <w:t>老师调动人员减少</w:t>
      </w:r>
      <w:r>
        <w:rPr>
          <w:rFonts w:hint="eastAsia" w:ascii="宋体" w:hAnsi="宋体"/>
          <w:color w:val="auto"/>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．外交支出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3</w:t>
      </w:r>
      <w:r>
        <w:rPr>
          <w:rFonts w:hint="eastAsia" w:ascii="宋体" w:hAnsi="宋体"/>
          <w:b/>
          <w:color w:val="auto"/>
          <w:sz w:val="24"/>
          <w:szCs w:val="24"/>
          <w:lang w:val="zh-CN"/>
        </w:rPr>
        <w:t>．国防支出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4</w:t>
      </w:r>
      <w:r>
        <w:rPr>
          <w:rFonts w:hint="eastAsia" w:ascii="宋体" w:hAnsi="宋体"/>
          <w:b/>
          <w:color w:val="auto"/>
          <w:sz w:val="24"/>
          <w:szCs w:val="24"/>
          <w:lang w:val="zh-CN"/>
        </w:rPr>
        <w:t>．公共安全支出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5</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年初预算数为1038.23万元,支出决算为1038.23万元,完成年初预算的100.0%,决算数小于预算数的主要原因是</w:t>
      </w:r>
      <w:r>
        <w:rPr>
          <w:rFonts w:hint="eastAsia" w:ascii="宋体" w:hAnsi="宋体"/>
          <w:color w:val="auto"/>
          <w:sz w:val="24"/>
          <w:szCs w:val="24"/>
          <w:lang w:val="en-US" w:eastAsia="zh-CN"/>
        </w:rPr>
        <w:t>预算调整。</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6</w:t>
      </w:r>
      <w:r>
        <w:rPr>
          <w:rFonts w:hint="eastAsia" w:ascii="宋体" w:hAnsi="宋体"/>
          <w:b/>
          <w:color w:val="auto"/>
          <w:sz w:val="24"/>
          <w:szCs w:val="24"/>
          <w:lang w:val="zh-CN"/>
        </w:rPr>
        <w:t>．科学技术支出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7</w:t>
      </w:r>
      <w:r>
        <w:rPr>
          <w:rFonts w:hint="eastAsia" w:ascii="宋体" w:hAnsi="宋体"/>
          <w:b/>
          <w:color w:val="auto"/>
          <w:sz w:val="24"/>
          <w:szCs w:val="24"/>
          <w:lang w:val="zh-CN"/>
        </w:rPr>
        <w:t>．文化旅游体育与传媒支出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en-US" w:eastAsia="zh-CN"/>
        </w:rPr>
      </w:pPr>
      <w:r>
        <w:rPr>
          <w:rFonts w:hint="default" w:ascii="Times New Roman" w:hAnsi="Times New Roman" w:eastAsia="Times New Roman"/>
          <w:b/>
          <w:color w:val="auto"/>
          <w:sz w:val="24"/>
          <w:szCs w:val="24"/>
          <w:lang w:val="zh-CN"/>
        </w:rPr>
        <w:t>8</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年初预算数为162.94万元,支出决算为162.94万元,完成年初预算的100.0%,决算数小于预算数的主要原因是</w:t>
      </w:r>
      <w:r>
        <w:rPr>
          <w:rFonts w:hint="eastAsia" w:ascii="宋体" w:hAnsi="宋体"/>
          <w:color w:val="auto"/>
          <w:sz w:val="24"/>
          <w:szCs w:val="24"/>
          <w:lang w:val="en-US" w:eastAsia="zh-CN"/>
        </w:rPr>
        <w:t>预算调整。</w:t>
      </w:r>
      <w:r>
        <w:rPr>
          <w:rFonts w:hint="default" w:ascii="Times New Roman" w:hAnsi="Times New Roman" w:eastAsia="Times New Roman"/>
          <w:b/>
          <w:color w:val="auto"/>
          <w:sz w:val="24"/>
          <w:szCs w:val="24"/>
          <w:lang w:val="zh-CN"/>
        </w:rPr>
        <w:t>9</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年初预算数为52.19万元,支出决算为52.19万元,完成年初预算的100.0%,决算数小于预算数的主要原因是</w:t>
      </w:r>
      <w:r>
        <w:rPr>
          <w:rFonts w:hint="eastAsia" w:ascii="宋体" w:hAnsi="宋体"/>
          <w:color w:val="auto"/>
          <w:sz w:val="24"/>
          <w:szCs w:val="24"/>
          <w:lang w:val="en-US" w:eastAsia="zh-CN"/>
        </w:rPr>
        <w:t>预算调整。</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10</w:t>
      </w:r>
      <w:r>
        <w:rPr>
          <w:rFonts w:hint="eastAsia" w:ascii="宋体" w:hAnsi="宋体"/>
          <w:b/>
          <w:color w:val="auto"/>
          <w:sz w:val="24"/>
          <w:szCs w:val="24"/>
          <w:lang w:val="zh-CN"/>
        </w:rPr>
        <w:t>．节能环保支出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11</w:t>
      </w:r>
      <w:r>
        <w:rPr>
          <w:rFonts w:hint="eastAsia" w:ascii="宋体" w:hAnsi="宋体"/>
          <w:b/>
          <w:color w:val="auto"/>
          <w:sz w:val="24"/>
          <w:szCs w:val="24"/>
          <w:lang w:val="zh-CN"/>
        </w:rPr>
        <w:t>．城乡社区支出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12</w:t>
      </w:r>
      <w:r>
        <w:rPr>
          <w:rFonts w:hint="eastAsia" w:ascii="宋体" w:hAnsi="宋体"/>
          <w:b/>
          <w:color w:val="auto"/>
          <w:sz w:val="24"/>
          <w:szCs w:val="24"/>
          <w:lang w:val="zh-CN"/>
        </w:rPr>
        <w:t>．农林水支出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13</w:t>
      </w:r>
      <w:r>
        <w:rPr>
          <w:rFonts w:hint="eastAsia" w:ascii="宋体" w:hAnsi="宋体"/>
          <w:b/>
          <w:color w:val="auto"/>
          <w:sz w:val="24"/>
          <w:szCs w:val="24"/>
          <w:lang w:val="zh-CN"/>
        </w:rPr>
        <w:t>．交通运输支出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14</w:t>
      </w:r>
      <w:r>
        <w:rPr>
          <w:rFonts w:hint="eastAsia" w:ascii="宋体" w:hAnsi="宋体"/>
          <w:b/>
          <w:color w:val="auto"/>
          <w:sz w:val="24"/>
          <w:szCs w:val="24"/>
          <w:lang w:val="zh-CN"/>
        </w:rPr>
        <w:t>．资源勘探工业信息等支出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15</w:t>
      </w:r>
      <w:r>
        <w:rPr>
          <w:rFonts w:hint="eastAsia" w:ascii="宋体" w:hAnsi="宋体"/>
          <w:b/>
          <w:color w:val="auto"/>
          <w:sz w:val="24"/>
          <w:szCs w:val="24"/>
          <w:lang w:val="zh-CN"/>
        </w:rPr>
        <w:t>．商业服务业等支出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16</w:t>
      </w:r>
      <w:r>
        <w:rPr>
          <w:rFonts w:hint="eastAsia" w:ascii="宋体" w:hAnsi="宋体"/>
          <w:b/>
          <w:color w:val="auto"/>
          <w:sz w:val="24"/>
          <w:szCs w:val="24"/>
          <w:lang w:val="zh-CN"/>
        </w:rPr>
        <w:t>．金融支出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highlight w:val="red"/>
          <w:lang w:val="zh-CN"/>
        </w:rPr>
      </w:pPr>
      <w:r>
        <w:rPr>
          <w:rFonts w:hint="default" w:ascii="Times New Roman" w:hAnsi="Times New Roman" w:eastAsia="Times New Roman"/>
          <w:b/>
          <w:color w:val="auto"/>
          <w:sz w:val="24"/>
          <w:szCs w:val="24"/>
          <w:lang w:val="zh-CN"/>
        </w:rPr>
        <w:t>1</w:t>
      </w:r>
      <w:r>
        <w:rPr>
          <w:rFonts w:hint="eastAsia" w:ascii="Times New Roman" w:hAnsi="Times New Roman" w:eastAsia="宋体"/>
          <w:b/>
          <w:color w:val="auto"/>
          <w:sz w:val="24"/>
          <w:szCs w:val="24"/>
          <w:lang w:val="en-US" w:eastAsia="zh-CN"/>
        </w:rPr>
        <w:t>7</w:t>
      </w:r>
      <w:r>
        <w:rPr>
          <w:rFonts w:hint="eastAsia" w:ascii="宋体" w:hAnsi="宋体"/>
          <w:b/>
          <w:color w:val="auto"/>
          <w:sz w:val="24"/>
          <w:szCs w:val="24"/>
          <w:lang w:val="zh-CN"/>
        </w:rPr>
        <w:t>．自然资源海洋气象等支出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1</w:t>
      </w:r>
      <w:r>
        <w:rPr>
          <w:rFonts w:hint="eastAsia" w:ascii="Times New Roman" w:hAnsi="Times New Roman" w:eastAsia="宋体"/>
          <w:b/>
          <w:color w:val="auto"/>
          <w:sz w:val="24"/>
          <w:szCs w:val="24"/>
          <w:lang w:val="en-US" w:eastAsia="zh-CN"/>
        </w:rPr>
        <w:t>8</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年初预算数为75.57万元,支出决算为75.57万元,完成年初预算的100.0%,决算数小于预算数的主要原因是</w:t>
      </w:r>
      <w:r>
        <w:rPr>
          <w:rFonts w:hint="eastAsia" w:ascii="宋体" w:hAnsi="宋体"/>
          <w:color w:val="auto"/>
          <w:sz w:val="24"/>
          <w:szCs w:val="24"/>
          <w:lang w:val="en-US" w:eastAsia="zh-CN"/>
        </w:rPr>
        <w:t>预算调整。</w:t>
      </w:r>
    </w:p>
    <w:p>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19</w:t>
      </w:r>
      <w:r>
        <w:rPr>
          <w:rFonts w:hint="eastAsia" w:ascii="宋体" w:hAnsi="宋体"/>
          <w:b/>
          <w:color w:val="auto"/>
          <w:sz w:val="24"/>
          <w:szCs w:val="24"/>
          <w:lang w:val="zh-CN"/>
        </w:rPr>
        <w:t>．粮油物资储备支出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0</w:t>
      </w:r>
      <w:r>
        <w:rPr>
          <w:rFonts w:hint="eastAsia" w:ascii="宋体" w:hAnsi="宋体"/>
          <w:b/>
          <w:color w:val="auto"/>
          <w:sz w:val="24"/>
          <w:szCs w:val="24"/>
          <w:lang w:val="zh-CN"/>
        </w:rPr>
        <w:t>．灾害防治及应急管理支出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1</w:t>
      </w:r>
      <w:r>
        <w:rPr>
          <w:rFonts w:hint="eastAsia" w:ascii="宋体" w:hAnsi="宋体"/>
          <w:b/>
          <w:color w:val="auto"/>
          <w:sz w:val="24"/>
          <w:szCs w:val="24"/>
          <w:lang w:val="zh-CN"/>
        </w:rPr>
        <w:t>．其他支出</w:t>
      </w:r>
      <w:r>
        <w:rPr>
          <w:rFonts w:hint="eastAsia" w:ascii="宋体" w:hAnsi="宋体"/>
          <w:color w:val="auto"/>
          <w:sz w:val="24"/>
          <w:szCs w:val="24"/>
          <w:lang w:val="zh-CN"/>
        </w:rPr>
        <w:t>年初预算数为0.00万元,支出决算为0.00万元,完成年初预算的%,决算数小于预算数的主要原因是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2</w:t>
      </w:r>
      <w:r>
        <w:rPr>
          <w:rFonts w:hint="eastAsia" w:ascii="宋体" w:hAnsi="宋体"/>
          <w:b/>
          <w:color w:val="auto"/>
          <w:sz w:val="24"/>
          <w:szCs w:val="24"/>
          <w:lang w:val="zh-CN"/>
        </w:rPr>
        <w:t>．债务还本支出</w:t>
      </w:r>
      <w:r>
        <w:rPr>
          <w:rFonts w:hint="eastAsia" w:ascii="宋体" w:hAnsi="宋体"/>
          <w:color w:val="auto"/>
          <w:sz w:val="24"/>
          <w:szCs w:val="24"/>
          <w:lang w:val="zh-CN"/>
        </w:rPr>
        <w:t>年初预算数为0.00万元,支出决算为0.00万元,完成年初预算的0.0%,决算数小于预算数的主要原因是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3</w:t>
      </w:r>
      <w:r>
        <w:rPr>
          <w:rFonts w:hint="eastAsia" w:ascii="宋体" w:hAnsi="宋体"/>
          <w:b/>
          <w:color w:val="auto"/>
          <w:sz w:val="24"/>
          <w:szCs w:val="24"/>
          <w:lang w:val="zh-CN"/>
        </w:rPr>
        <w:t>．债务付息支出</w:t>
      </w:r>
      <w:r>
        <w:rPr>
          <w:rFonts w:hint="eastAsia" w:ascii="宋体" w:hAnsi="宋体"/>
          <w:color w:val="auto"/>
          <w:sz w:val="24"/>
          <w:szCs w:val="24"/>
          <w:lang w:val="zh-CN"/>
        </w:rPr>
        <w:t>年初预算数为0.00万元,支出决算为0.00万元,完成年初预算的0.0%,决算数小于预算数的主要原因是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color w:val="FF0000"/>
          <w:sz w:val="24"/>
          <w:szCs w:val="24"/>
          <w:lang w:val="zh-CN"/>
        </w:rPr>
      </w:pPr>
      <w:r>
        <w:rPr>
          <w:rFonts w:hint="default" w:ascii="Times New Roman" w:hAnsi="Times New Roman" w:eastAsia="Times New Roman"/>
          <w:b/>
          <w:color w:val="auto"/>
          <w:sz w:val="24"/>
          <w:szCs w:val="24"/>
          <w:lang w:val="zh-CN"/>
        </w:rPr>
        <w:t>2</w:t>
      </w:r>
      <w:r>
        <w:rPr>
          <w:rFonts w:hint="eastAsia" w:ascii="Times New Roman" w:hAnsi="Times New Roman"/>
          <w:b/>
          <w:color w:val="auto"/>
          <w:sz w:val="24"/>
          <w:szCs w:val="24"/>
          <w:lang w:val="en-US" w:eastAsia="zh-CN"/>
        </w:rPr>
        <w:t>4</w:t>
      </w:r>
      <w:r>
        <w:rPr>
          <w:rFonts w:hint="eastAsia" w:ascii="宋体" w:hAnsi="宋体"/>
          <w:b/>
          <w:color w:val="auto"/>
          <w:sz w:val="24"/>
          <w:szCs w:val="24"/>
          <w:lang w:val="zh-CN"/>
        </w:rPr>
        <w:t>．抗疫特别国债安排的支出</w:t>
      </w:r>
      <w:r>
        <w:rPr>
          <w:rFonts w:hint="eastAsia" w:ascii="宋体" w:hAnsi="宋体"/>
          <w:color w:val="auto"/>
          <w:sz w:val="24"/>
          <w:szCs w:val="24"/>
          <w:lang w:val="zh-CN"/>
        </w:rPr>
        <w:t>年初预算数为0.00万元,支出决算为0.00万元,完成年初预算的0.0%,决算数小于预算数的主要原因是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2023年度一般公共预算财政拨款基本支出1143.57万元。其中：</w:t>
      </w:r>
    </w:p>
    <w:p>
      <w:pPr>
        <w:spacing w:before="100" w:beforeLines="0" w:after="100" w:afterLines="0"/>
        <w:jc w:val="left"/>
        <w:rPr>
          <w:rFonts w:hint="eastAsia" w:ascii="宋体" w:hAnsi="宋体" w:eastAsia="宋体"/>
          <w:color w:val="auto"/>
          <w:sz w:val="24"/>
          <w:szCs w:val="24"/>
          <w:lang w:val="en-US" w:eastAsia="zh-CN"/>
        </w:rPr>
      </w:pPr>
      <w:r>
        <w:rPr>
          <w:rFonts w:hint="eastAsia" w:ascii="宋体" w:hAnsi="宋体"/>
          <w:b/>
          <w:color w:val="auto"/>
          <w:sz w:val="24"/>
          <w:szCs w:val="24"/>
          <w:lang w:val="zh-CN"/>
        </w:rPr>
        <w:t>人员经费</w:t>
      </w:r>
      <w:r>
        <w:rPr>
          <w:rFonts w:hint="eastAsia" w:ascii="宋体" w:hAnsi="宋体"/>
          <w:color w:val="auto"/>
          <w:sz w:val="24"/>
          <w:szCs w:val="24"/>
          <w:lang w:val="zh-CN"/>
        </w:rPr>
        <w:t>1049.31万元,较上年决算数增加151.06万元,增长16.82%,主要原因是</w:t>
      </w:r>
      <w:r>
        <w:rPr>
          <w:rFonts w:hint="eastAsia" w:ascii="宋体" w:hAnsi="宋体"/>
          <w:color w:val="auto"/>
          <w:sz w:val="24"/>
          <w:szCs w:val="24"/>
          <w:lang w:val="en-US" w:eastAsia="zh-CN"/>
        </w:rPr>
        <w:t>人员增加</w:t>
      </w:r>
      <w:r>
        <w:rPr>
          <w:rFonts w:hint="eastAsia" w:ascii="宋体" w:hAnsi="宋体"/>
          <w:color w:val="auto"/>
          <w:sz w:val="24"/>
          <w:szCs w:val="24"/>
          <w:lang w:val="zh-CN"/>
        </w:rPr>
        <w:t>。人员经费用途主要包括基本工资、津贴补贴、奖金、社会保障缴费</w:t>
      </w:r>
      <w:r>
        <w:rPr>
          <w:rFonts w:hint="eastAsia" w:ascii="宋体" w:hAnsi="宋体"/>
          <w:color w:val="auto"/>
          <w:sz w:val="24"/>
          <w:szCs w:val="24"/>
          <w:lang w:val="en-US" w:eastAsia="zh-CN"/>
        </w:rPr>
        <w:t>等。</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公用经费</w:t>
      </w:r>
      <w:r>
        <w:rPr>
          <w:rFonts w:hint="eastAsia" w:ascii="宋体" w:hAnsi="宋体"/>
          <w:color w:val="auto"/>
          <w:sz w:val="24"/>
          <w:szCs w:val="24"/>
          <w:lang w:val="zh-CN"/>
        </w:rPr>
        <w:t>94.26万元,较上年决算数减少37.42万元,下降28.41%,主要原因是</w:t>
      </w:r>
      <w:r>
        <w:rPr>
          <w:rFonts w:hint="eastAsia" w:ascii="宋体" w:hAnsi="宋体"/>
          <w:color w:val="auto"/>
          <w:sz w:val="24"/>
          <w:szCs w:val="24"/>
          <w:lang w:val="en-US" w:eastAsia="zh-CN"/>
        </w:rPr>
        <w:t>系统下拨经费从项目支出中支出。</w:t>
      </w:r>
      <w:r>
        <w:rPr>
          <w:rFonts w:hint="eastAsia" w:ascii="宋体" w:hAnsi="宋体"/>
          <w:color w:val="auto"/>
          <w:sz w:val="24"/>
          <w:szCs w:val="24"/>
          <w:lang w:val="zh-CN"/>
        </w:rPr>
        <w:t>公用经费用途主要包括办公费、印刷费、咨询费、手续费</w:t>
      </w:r>
      <w:r>
        <w:rPr>
          <w:rFonts w:hint="eastAsia" w:ascii="宋体" w:hAnsi="宋体"/>
          <w:color w:val="auto"/>
          <w:sz w:val="24"/>
          <w:szCs w:val="24"/>
          <w:lang w:val="en-US" w:eastAsia="zh-CN"/>
        </w:rPr>
        <w:t>等</w:t>
      </w:r>
      <w:r>
        <w:rPr>
          <w:rFonts w:hint="eastAsia" w:ascii="宋体" w:hAnsi="宋体"/>
          <w:color w:val="auto"/>
          <w:sz w:val="24"/>
          <w:szCs w:val="24"/>
          <w:lang w:val="zh-CN"/>
        </w:rPr>
        <w:t>。</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pPr>
        <w:spacing w:before="100" w:beforeLines="0" w:after="100" w:afterLines="0"/>
        <w:jc w:val="left"/>
        <w:rPr>
          <w:rFonts w:hint="default" w:ascii="宋体" w:hAnsi="宋体" w:eastAsia="宋体"/>
          <w:color w:val="FF0000"/>
          <w:sz w:val="24"/>
          <w:szCs w:val="24"/>
          <w:lang w:val="en-US" w:eastAsia="zh-CN"/>
        </w:rPr>
      </w:pPr>
      <w:r>
        <w:rPr>
          <w:rFonts w:hint="eastAsia" w:ascii="宋体" w:hAnsi="宋体"/>
          <w:color w:val="auto"/>
          <w:sz w:val="24"/>
          <w:szCs w:val="24"/>
          <w:lang w:val="zh-CN"/>
        </w:rPr>
        <w:t>2023年度政府性基金预算财政拨款年初结转和结余0.00万元,本年收入1.00万元,本年支出1.00万元,年末结转和结余0.00</w:t>
      </w:r>
      <w:r>
        <w:rPr>
          <w:rFonts w:hint="eastAsia" w:ascii="宋体" w:hAnsi="宋体"/>
          <w:sz w:val="24"/>
          <w:szCs w:val="24"/>
          <w:lang w:val="en-US" w:eastAsia="zh-CN"/>
        </w:rPr>
        <w:t>万元</w:t>
      </w:r>
      <w:r>
        <w:rPr>
          <w:rFonts w:hint="eastAsia" w:ascii="宋体" w:hAnsi="宋体"/>
          <w:color w:val="auto"/>
          <w:sz w:val="24"/>
          <w:szCs w:val="24"/>
          <w:lang w:val="zh-CN"/>
        </w:rPr>
        <w:t>,支出具体情况如下：</w:t>
      </w:r>
      <w:r>
        <w:rPr>
          <w:rFonts w:hint="eastAsia" w:ascii="宋体" w:hAnsi="宋体"/>
          <w:color w:val="auto"/>
          <w:sz w:val="24"/>
          <w:szCs w:val="24"/>
          <w:lang w:val="en-US" w:eastAsia="zh-CN"/>
        </w:rPr>
        <w:t>办公费支出1.00万元。</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本部门2023年度没有使用国有资本经营预算安排的支出。</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我单位属于</w:t>
      </w:r>
      <w:r>
        <w:rPr>
          <w:rFonts w:hint="eastAsia" w:ascii="宋体" w:hAnsi="宋体"/>
          <w:color w:val="auto"/>
          <w:sz w:val="24"/>
          <w:szCs w:val="24"/>
          <w:lang w:val="en-US" w:eastAsia="zh-CN"/>
        </w:rPr>
        <w:t>公益一类事业单位</w:t>
      </w:r>
      <w:r>
        <w:rPr>
          <w:rFonts w:hint="eastAsia" w:ascii="宋体" w:hAnsi="宋体"/>
          <w:color w:val="auto"/>
          <w:sz w:val="24"/>
          <w:szCs w:val="24"/>
          <w:lang w:val="zh-CN"/>
        </w:rPr>
        <w:t>,财政未保障我单位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(一)</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经费财政拨款支出总体情况说明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w:t>
      </w:r>
      <w:r>
        <w:rPr>
          <w:rFonts w:hint="eastAsia" w:ascii="宋体" w:hAnsi="宋体"/>
          <w:color w:val="auto"/>
          <w:sz w:val="24"/>
          <w:szCs w:val="24"/>
          <w:lang w:val="en-US" w:eastAsia="zh-CN"/>
        </w:rPr>
        <w:t>无此项支出</w:t>
      </w:r>
      <w:r>
        <w:rPr>
          <w:rFonts w:hint="eastAsia" w:ascii="宋体" w:hAnsi="宋体"/>
          <w:color w:val="FF0000"/>
          <w:sz w:val="24"/>
          <w:szCs w:val="24"/>
          <w:lang w:val="zh-CN"/>
        </w:rPr>
        <w:t>。</w:t>
      </w:r>
    </w:p>
    <w:p>
      <w:pPr>
        <w:numPr>
          <w:ilvl w:val="0"/>
          <w:numId w:val="4"/>
        </w:numPr>
        <w:spacing w:before="100" w:beforeLines="0" w:after="100" w:afterLine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经费财政拨款支出决算具体情况说明</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因公出国(境)费用</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2.</w:t>
      </w:r>
      <w:r>
        <w:rPr>
          <w:rFonts w:hint="eastAsia" w:ascii="宋体" w:hAnsi="宋体"/>
          <w:b/>
          <w:color w:val="auto"/>
          <w:sz w:val="24"/>
          <w:szCs w:val="24"/>
          <w:lang w:val="zh-CN"/>
        </w:rPr>
        <w:t>公务用车购置及运行维护费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其中：公务用车购置费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公务用车运行维护费</w:t>
      </w:r>
      <w:r>
        <w:rPr>
          <w:rFonts w:hint="eastAsia" w:ascii="宋体" w:hAnsi="宋体"/>
          <w:color w:val="auto"/>
          <w:sz w:val="24"/>
          <w:szCs w:val="24"/>
          <w:lang w:val="en-US"/>
        </w:rPr>
        <w:t>全年</w:t>
      </w:r>
      <w:r>
        <w:rPr>
          <w:rFonts w:hint="eastAsia" w:ascii="宋体" w:hAnsi="宋体"/>
          <w:color w:val="auto"/>
          <w:sz w:val="24"/>
          <w:szCs w:val="24"/>
          <w:lang w:val="zh-CN"/>
        </w:rPr>
        <w:t>预算数为0.00万元,支出决算为0.00万元,决算数小于预算数的主要原因是财政未保障我单位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numPr>
          <w:ilvl w:val="0"/>
          <w:numId w:val="5"/>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公务接待费</w:t>
      </w:r>
      <w:r>
        <w:rPr>
          <w:rFonts w:hint="eastAsia" w:ascii="宋体" w:hAnsi="宋体"/>
          <w:color w:val="auto"/>
          <w:sz w:val="24"/>
          <w:szCs w:val="24"/>
          <w:lang w:val="en-US"/>
        </w:rPr>
        <w:t>全</w:t>
      </w:r>
      <w:r>
        <w:rPr>
          <w:rFonts w:hint="eastAsia" w:ascii="宋体" w:hAnsi="宋体"/>
          <w:color w:val="auto"/>
          <w:sz w:val="24"/>
          <w:szCs w:val="24"/>
          <w:lang w:val="zh-CN"/>
        </w:rPr>
        <w:t>年预算数为0.00万元,支出决算为0.00万元,决算数小于预算数的主要原因是财政未保障我单位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r>
        <w:rPr>
          <w:rFonts w:hint="eastAsia" w:ascii="宋体" w:hAnsi="宋体"/>
          <w:color w:val="auto"/>
          <w:sz w:val="24"/>
          <w:szCs w:val="24"/>
          <w:lang w:val="en-US"/>
        </w:rPr>
        <w:t>较上年决算数</w:t>
      </w:r>
      <w:r>
        <w:rPr>
          <w:rFonts w:hint="eastAsia" w:ascii="宋体" w:hAnsi="宋体"/>
          <w:color w:val="auto"/>
          <w:sz w:val="24"/>
          <w:szCs w:val="24"/>
          <w:lang w:val="en-US" w:eastAsia="zh-CN"/>
        </w:rPr>
        <w:t>减少0.0</w:t>
      </w:r>
      <w:r>
        <w:rPr>
          <w:rFonts w:hint="eastAsia" w:ascii="宋体" w:hAnsi="宋体"/>
          <w:color w:val="auto"/>
          <w:sz w:val="24"/>
          <w:szCs w:val="24"/>
          <w:lang w:val="zh-CN"/>
        </w:rPr>
        <w:t>万元</w:t>
      </w:r>
      <w:r>
        <w:rPr>
          <w:rFonts w:hint="eastAsia" w:ascii="宋体" w:hAnsi="宋体"/>
          <w:color w:val="auto"/>
          <w:sz w:val="24"/>
          <w:szCs w:val="24"/>
          <w:lang w:val="en-US"/>
        </w:rPr>
        <w:t>,</w:t>
      </w:r>
      <w:r>
        <w:rPr>
          <w:rFonts w:hint="eastAsia" w:ascii="宋体" w:hAnsi="宋体"/>
          <w:color w:val="auto"/>
          <w:sz w:val="24"/>
          <w:szCs w:val="24"/>
          <w:lang w:val="en-US" w:eastAsia="zh-CN"/>
        </w:rPr>
        <w:t>下降0</w:t>
      </w:r>
      <w:r>
        <w:rPr>
          <w:rFonts w:hint="eastAsia" w:ascii="宋体" w:hAnsi="宋体"/>
          <w:color w:val="auto"/>
          <w:sz w:val="24"/>
          <w:szCs w:val="24"/>
          <w:lang w:val="zh-CN"/>
        </w:rPr>
        <w:t>%</w:t>
      </w:r>
      <w:r>
        <w:rPr>
          <w:rFonts w:hint="eastAsia" w:ascii="宋体" w:hAnsi="宋体"/>
          <w:color w:val="auto"/>
          <w:sz w:val="24"/>
          <w:szCs w:val="24"/>
          <w:lang w:val="en-US"/>
        </w:rPr>
        <w:t>,</w:t>
      </w:r>
      <w:r>
        <w:rPr>
          <w:rFonts w:hint="eastAsia" w:ascii="宋体" w:hAnsi="宋体"/>
          <w:color w:val="auto"/>
          <w:sz w:val="24"/>
          <w:szCs w:val="24"/>
          <w:lang w:val="zh-CN"/>
        </w:rPr>
        <w:t>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numPr>
          <w:ilvl w:val="0"/>
          <w:numId w:val="0"/>
        </w:numPr>
        <w:spacing w:before="100" w:beforeLines="0" w:after="100" w:afterLines="0"/>
        <w:jc w:val="left"/>
        <w:rPr>
          <w:rFonts w:hint="eastAsia" w:ascii="宋体" w:hAnsi="宋体"/>
          <w:color w:val="FF0000"/>
          <w:sz w:val="24"/>
          <w:szCs w:val="24"/>
          <w:lang w:val="en-US" w:eastAsia="zh-CN"/>
        </w:rPr>
      </w:pPr>
      <w:r>
        <w:rPr>
          <w:rFonts w:hint="eastAsia" w:ascii="宋体" w:hAnsi="宋体"/>
          <w:color w:val="000000" w:themeColor="text1"/>
          <w:sz w:val="24"/>
          <w:szCs w:val="24"/>
          <w:lang w:val="zh-CN"/>
          <w14:textFill>
            <w14:solidFill>
              <w14:schemeClr w14:val="tx1"/>
            </w14:solidFill>
          </w14:textFill>
        </w:rPr>
        <w:t>外事接待费支出0.00</w:t>
      </w:r>
      <w:r>
        <w:rPr>
          <w:rFonts w:hint="eastAsia" w:ascii="宋体" w:hAnsi="宋体"/>
          <w:color w:val="auto"/>
          <w:sz w:val="24"/>
          <w:szCs w:val="24"/>
          <w:lang w:val="zh-CN"/>
        </w:rPr>
        <w:t>万元。主要原因是财政未保障我单位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numPr>
          <w:ilvl w:val="0"/>
          <w:numId w:val="0"/>
        </w:numPr>
        <w:spacing w:before="100" w:beforeLines="0" w:after="100" w:afterLines="0"/>
        <w:jc w:val="left"/>
        <w:rPr>
          <w:rFonts w:hint="default" w:ascii="宋体" w:hAnsi="宋体"/>
          <w:color w:val="FF0000"/>
          <w:sz w:val="24"/>
          <w:szCs w:val="24"/>
          <w:lang w:val="en-US" w:eastAsia="zh-CN"/>
        </w:rPr>
      </w:pP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auto"/>
          <w:sz w:val="24"/>
          <w:szCs w:val="24"/>
          <w:lang w:val="zh-CN"/>
        </w:rPr>
        <w:t>万元。主要原因是财政未保障我单位</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FF0000"/>
          <w:sz w:val="24"/>
          <w:szCs w:val="24"/>
          <w:lang w:val="zh-CN"/>
        </w:rPr>
        <w:t>。</w:t>
      </w:r>
    </w:p>
    <w:p>
      <w:pPr>
        <w:numPr>
          <w:ilvl w:val="0"/>
          <w:numId w:val="4"/>
        </w:numPr>
        <w:spacing w:before="100" w:beforeLines="0" w:after="100" w:afterLines="0"/>
        <w:ind w:left="0" w:leftChars="0" w:firstLine="0" w:firstLineChars="0"/>
        <w:jc w:val="left"/>
        <w:rPr>
          <w:rFonts w:hint="eastAsia" w:ascii="宋体" w:hAnsi="宋体"/>
          <w:b/>
          <w:color w:val="auto"/>
          <w:sz w:val="24"/>
          <w:szCs w:val="24"/>
          <w:lang w:val="zh-CN"/>
        </w:rPr>
      </w:pP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三公</w:t>
      </w:r>
      <w:r>
        <w:rPr>
          <w:rFonts w:hint="default" w:ascii="Times New Roman" w:hAnsi="Times New Roman" w:eastAsia="Times New Roman"/>
          <w:b/>
          <w:color w:val="auto"/>
          <w:sz w:val="24"/>
          <w:szCs w:val="24"/>
          <w:lang w:val="zh-CN"/>
        </w:rPr>
        <w:t>”</w:t>
      </w:r>
      <w:r>
        <w:rPr>
          <w:rFonts w:hint="eastAsia" w:ascii="宋体" w:hAnsi="宋体"/>
          <w:b/>
          <w:color w:val="auto"/>
          <w:sz w:val="24"/>
          <w:szCs w:val="24"/>
          <w:lang w:val="zh-CN"/>
        </w:rPr>
        <w:t>经费财政拨款支出决算实物量情况</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2023年度本部门</w:t>
      </w:r>
      <w:r>
        <w:rPr>
          <w:rFonts w:hint="eastAsia" w:ascii="宋体" w:hAnsi="宋体"/>
          <w:b/>
          <w:color w:val="auto"/>
          <w:sz w:val="24"/>
          <w:szCs w:val="24"/>
          <w:lang w:val="zh-CN"/>
        </w:rPr>
        <w:t>因公出国(境)</w:t>
      </w:r>
      <w:r>
        <w:rPr>
          <w:rFonts w:hint="eastAsia" w:ascii="宋体" w:hAnsi="宋体"/>
          <w:color w:val="auto"/>
          <w:sz w:val="24"/>
          <w:szCs w:val="24"/>
          <w:lang w:val="zh-CN"/>
        </w:rPr>
        <w:t>共计</w:t>
      </w:r>
      <w:r>
        <w:rPr>
          <w:rFonts w:hint="eastAsia" w:ascii="宋体" w:hAnsi="宋体"/>
          <w:color w:val="auto"/>
          <w:sz w:val="24"/>
          <w:szCs w:val="24"/>
          <w:lang w:val="en-US" w:eastAsia="zh-CN"/>
        </w:rPr>
        <w:t>0</w:t>
      </w:r>
      <w:r>
        <w:rPr>
          <w:rFonts w:hint="eastAsia" w:ascii="宋体" w:hAnsi="宋体"/>
          <w:color w:val="auto"/>
          <w:sz w:val="24"/>
          <w:szCs w:val="24"/>
          <w:lang w:val="zh-CN"/>
        </w:rPr>
        <w:t>个团组,人；</w:t>
      </w:r>
      <w:r>
        <w:rPr>
          <w:rFonts w:hint="eastAsia" w:ascii="宋体" w:hAnsi="宋体"/>
          <w:b/>
          <w:color w:val="auto"/>
          <w:sz w:val="24"/>
          <w:szCs w:val="24"/>
          <w:lang w:val="zh-CN"/>
        </w:rPr>
        <w:t>公务用车购置</w:t>
      </w:r>
      <w:r>
        <w:rPr>
          <w:rFonts w:hint="eastAsia" w:ascii="宋体" w:hAnsi="宋体"/>
          <w:b/>
          <w:color w:val="auto"/>
          <w:sz w:val="24"/>
          <w:szCs w:val="24"/>
          <w:lang w:val="en-US" w:eastAsia="zh-CN"/>
        </w:rPr>
        <w:t>0</w:t>
      </w:r>
      <w:r>
        <w:rPr>
          <w:rFonts w:hint="eastAsia" w:ascii="宋体" w:hAnsi="宋体"/>
          <w:color w:val="auto"/>
          <w:sz w:val="24"/>
          <w:szCs w:val="24"/>
          <w:lang w:val="zh-CN"/>
        </w:rPr>
        <w:t>辆,</w:t>
      </w:r>
      <w:r>
        <w:rPr>
          <w:rFonts w:hint="eastAsia" w:ascii="宋体" w:hAnsi="宋体"/>
          <w:b/>
          <w:color w:val="auto"/>
          <w:sz w:val="24"/>
          <w:szCs w:val="24"/>
          <w:lang w:val="zh-CN"/>
        </w:rPr>
        <w:t>公务用车保有量</w:t>
      </w:r>
      <w:r>
        <w:rPr>
          <w:rFonts w:hint="eastAsia" w:ascii="宋体" w:hAnsi="宋体"/>
          <w:color w:val="auto"/>
          <w:sz w:val="24"/>
          <w:szCs w:val="24"/>
          <w:lang w:val="zh-CN"/>
        </w:rPr>
        <w:t>为</w:t>
      </w:r>
      <w:r>
        <w:rPr>
          <w:rFonts w:hint="eastAsia" w:ascii="宋体" w:hAnsi="宋体"/>
          <w:color w:val="auto"/>
          <w:sz w:val="24"/>
          <w:szCs w:val="24"/>
          <w:lang w:val="en-US" w:eastAsia="zh-CN"/>
        </w:rPr>
        <w:t>0</w:t>
      </w:r>
      <w:r>
        <w:rPr>
          <w:rFonts w:hint="eastAsia" w:ascii="宋体" w:hAnsi="宋体"/>
          <w:color w:val="auto"/>
          <w:sz w:val="24"/>
          <w:szCs w:val="24"/>
          <w:lang w:val="zh-CN"/>
        </w:rPr>
        <w:t>辆；</w:t>
      </w:r>
      <w:r>
        <w:rPr>
          <w:rFonts w:hint="eastAsia" w:ascii="宋体" w:hAnsi="宋体"/>
          <w:b/>
          <w:color w:val="auto"/>
          <w:sz w:val="24"/>
          <w:szCs w:val="24"/>
          <w:lang w:val="zh-CN"/>
        </w:rPr>
        <w:t>国内公务接待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人,其中：</w:t>
      </w:r>
      <w:r>
        <w:rPr>
          <w:rFonts w:hint="eastAsia" w:ascii="宋体" w:hAnsi="宋体"/>
          <w:b/>
          <w:color w:val="auto"/>
          <w:sz w:val="24"/>
          <w:szCs w:val="24"/>
          <w:lang w:val="zh-CN"/>
        </w:rPr>
        <w:t>外事接待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w:t>
      </w:r>
      <w:r>
        <w:rPr>
          <w:rFonts w:hint="eastAsia" w:ascii="宋体" w:hAnsi="宋体"/>
          <w:b/>
          <w:color w:val="auto"/>
          <w:sz w:val="24"/>
          <w:szCs w:val="24"/>
          <w:lang w:val="zh-CN"/>
        </w:rPr>
        <w:t>国(境)外公务接待</w:t>
      </w:r>
      <w:r>
        <w:rPr>
          <w:rFonts w:hint="eastAsia" w:ascii="宋体" w:hAnsi="宋体"/>
          <w:color w:val="auto"/>
          <w:sz w:val="24"/>
          <w:szCs w:val="24"/>
          <w:lang w:val="zh-CN"/>
        </w:rPr>
        <w:t>批次,</w:t>
      </w:r>
      <w:r>
        <w:rPr>
          <w:rFonts w:hint="eastAsia" w:ascii="宋体" w:hAnsi="宋体"/>
          <w:color w:val="auto"/>
          <w:sz w:val="24"/>
          <w:szCs w:val="24"/>
          <w:lang w:val="en-US" w:eastAsia="zh-CN"/>
        </w:rPr>
        <w:t>0</w:t>
      </w:r>
      <w:r>
        <w:rPr>
          <w:rFonts w:hint="eastAsia" w:ascii="宋体" w:hAnsi="宋体"/>
          <w:color w:val="auto"/>
          <w:sz w:val="24"/>
          <w:szCs w:val="24"/>
          <w:lang w:val="zh-CN"/>
        </w:rPr>
        <w:t>人。</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我单位2023年度无机关运行相关经费。</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color w:val="auto"/>
          <w:sz w:val="24"/>
          <w:szCs w:val="24"/>
          <w:lang w:val="zh-CN"/>
        </w:rPr>
        <w:t>我单位2023年度无政府采购相关经费。</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单价100万元(含)以上设备0台(套)。</w:t>
      </w:r>
    </w:p>
    <w:p>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pPr>
        <w:spacing w:before="100" w:beforeLines="0" w:after="100" w:afterLines="0"/>
        <w:jc w:val="left"/>
        <w:rPr>
          <w:rFonts w:hint="eastAsia" w:ascii="宋体" w:hAnsi="宋体"/>
          <w:color w:val="FF0000"/>
          <w:sz w:val="24"/>
          <w:szCs w:val="24"/>
          <w:lang w:val="zh-CN"/>
        </w:rPr>
      </w:pPr>
    </w:p>
    <w:p>
      <w:pPr>
        <w:spacing w:before="100" w:beforeLines="0" w:after="100" w:afterLines="0"/>
        <w:jc w:val="left"/>
        <w:rPr>
          <w:rFonts w:hint="eastAsia" w:ascii="宋体" w:hAnsi="宋体"/>
          <w:color w:val="auto"/>
          <w:sz w:val="24"/>
          <w:szCs w:val="24"/>
          <w:lang w:val="zh-CN"/>
        </w:rPr>
      </w:pP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本单位未开展预算绩效管理</w:t>
      </w:r>
    </w:p>
    <w:p>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pPr>
        <w:spacing w:before="100" w:beforeLines="0" w:after="100" w:afterLines="0"/>
        <w:jc w:val="both"/>
        <w:rPr>
          <w:rFonts w:hint="eastAsia" w:ascii="仿宋_GB2312" w:hAnsi="仿宋_GB2312" w:eastAsia="仿宋_GB2312" w:cs="仿宋_GB2312"/>
          <w:color w:val="auto"/>
          <w:sz w:val="32"/>
          <w:szCs w:val="32"/>
          <w:lang w:val="zh-CN"/>
        </w:rPr>
      </w:pPr>
      <w:bookmarkStart w:id="0" w:name="_GoBack"/>
      <w:bookmarkEnd w:id="0"/>
    </w:p>
    <w:sectPr>
      <w:footerReference r:id="rId4" w:type="default"/>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69"/>
      <w:rPr>
        <w:rFonts w:ascii="宋体" w:hAnsi="宋体" w:eastAsia="宋体" w:cs="宋体"/>
        <w:sz w:val="15"/>
        <w:szCs w:val="15"/>
      </w:rPr>
    </w:pPr>
    <w:r>
      <w:rPr>
        <w:rFonts w:ascii="宋体" w:hAnsi="宋体" w:eastAsia="宋体" w:cs="宋体"/>
        <w:sz w:val="15"/>
        <w:szCs w:val="15"/>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69"/>
      <w:rPr>
        <w:rFonts w:ascii="宋体" w:hAnsi="宋体" w:eastAsia="宋体" w:cs="宋体"/>
        <w:sz w:val="15"/>
        <w:szCs w:val="15"/>
      </w:rPr>
    </w:pPr>
    <w:r>
      <w:rPr>
        <w:rFonts w:ascii="宋体" w:hAnsi="宋体" w:eastAsia="宋体" w:cs="宋体"/>
        <w:sz w:val="15"/>
        <w:szCs w:val="15"/>
      </w:rPr>
      <w:t>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1">
    <w:nsid w:val="0053208E"/>
    <w:multiLevelType w:val="singleLevel"/>
    <w:tmpl w:val="0053208E"/>
    <w:lvl w:ilvl="0" w:tentative="0">
      <w:start w:val="2"/>
      <w:numFmt w:val="chineseCounting"/>
      <w:suff w:val="nothing"/>
      <w:lvlText w:val="（%1）"/>
      <w:lvlJc w:val="left"/>
      <w:rPr>
        <w:rFonts w:hint="eastAsia"/>
      </w:rPr>
    </w:lvl>
  </w:abstractNum>
  <w:abstractNum w:abstractNumId="2">
    <w:nsid w:val="067BE795"/>
    <w:multiLevelType w:val="singleLevel"/>
    <w:tmpl w:val="067BE795"/>
    <w:lvl w:ilvl="0" w:tentative="0">
      <w:start w:val="1"/>
      <w:numFmt w:val="chineseCounting"/>
      <w:suff w:val="nothing"/>
      <w:lvlText w:val="%1、"/>
      <w:lvlJc w:val="left"/>
      <w:rPr>
        <w:rFonts w:hint="eastAsia"/>
      </w:rPr>
    </w:lvl>
  </w:abstractNum>
  <w:abstractNum w:abstractNumId="3">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abstractNum w:abstractNumId="4">
    <w:nsid w:val="66CC7758"/>
    <w:multiLevelType w:val="singleLevel"/>
    <w:tmpl w:val="66CC7758"/>
    <w:lvl w:ilvl="0" w:tentative="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N2MxZDY2ZTM5MmMxMzYyMDcyODEyOTNhMjQ4NDUifQ=="/>
  </w:docVars>
  <w:rsids>
    <w:rsidRoot w:val="00000000"/>
    <w:rsid w:val="50CE4C9A"/>
    <w:rsid w:val="6FC3307F"/>
    <w:rsid w:val="7C53287A"/>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9.xml"/><Relationship Id="rId32" Type="http://schemas.openxmlformats.org/officeDocument/2006/relationships/customXml" Target="../customXml/item8.xml"/><Relationship Id="rId31" Type="http://schemas.openxmlformats.org/officeDocument/2006/relationships/customXml" Target="../customXml/item7.xml"/><Relationship Id="rId30" Type="http://schemas.openxmlformats.org/officeDocument/2006/relationships/customXml" Target="../customXml/item6.xml"/><Relationship Id="rId3" Type="http://schemas.openxmlformats.org/officeDocument/2006/relationships/footer" Target="footer1.xml"/><Relationship Id="rId29" Type="http://schemas.openxmlformats.org/officeDocument/2006/relationships/customXml" Target="../customXml/item5.xml"/><Relationship Id="rId28" Type="http://schemas.openxmlformats.org/officeDocument/2006/relationships/customXml" Target="../customXml/item4.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2.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5.xml><?xml version="1.0" encoding="utf-8"?>
<Properties xmlns:vt="http://schemas.openxmlformats.org/officeDocument/2006/docPropsVTypes" xmlns="http://schemas.openxmlformats.org/officeDocument/2006/extended-properties">
  <Template>Normal.dotm</Template>
  <TotalTime>7</TotalTime>
  <Pages>15</Pages>
  <Words>7184</Words>
  <Characters>19289</Characters>
  <Application>WPS Office_11.1.0.12980_F1E327BC-269C-435d-A152-05C5408002CA</Application>
  <DocSecurity>0</DocSecurity>
  <Lines>0</Lines>
  <Paragraphs>0</Paragraphs>
  <CharactersWithSpaces>19293</CharactersWithSpaces>
  <AppVersion>14.0000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2024-08-20T02:55:27Z</dcterms:modified>
</cp:core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8.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Props1.xml><?xml version="1.0" encoding="utf-8"?>
<ds:datastoreItem xmlns:ds="http://schemas.openxmlformats.org/officeDocument/2006/customXml" ds:itemID="{a475a18c-88b1-47ec-b1f1-57604c926c36}">
  <ds:schemaRefs/>
</ds:datastoreItem>
</file>

<file path=customXml/itemProps2.xml><?xml version="1.0" encoding="utf-8"?>
<ds:datastoreItem xmlns:ds="http://schemas.openxmlformats.org/officeDocument/2006/customXml" ds:itemID="{c07353a2-f527-4deb-9d80-4bf3ce1c0e8f}">
  <ds:schemaRefs/>
</ds:datastoreItem>
</file>

<file path=customXml/itemProps3.xml><?xml version="1.0" encoding="utf-8"?>
<ds:datastoreItem xmlns:ds="http://schemas.openxmlformats.org/officeDocument/2006/customXml" ds:itemID="{c8c4704e-1051-44c5-838b-20140f4f0ea0}">
  <ds:schemaRefs/>
</ds:datastoreItem>
</file>

<file path=customXml/itemProps4.xml><?xml version="1.0" encoding="utf-8"?>
<ds:datastoreItem xmlns:ds="http://schemas.openxmlformats.org/officeDocument/2006/customXml" ds:itemID="{f781e8fd-8bd6-4e95-a283-bf04d075030f}">
  <ds:schemaRefs/>
</ds:datastoreItem>
</file>

<file path=customXml/itemProps5.xml><?xml version="1.0" encoding="utf-8"?>
<ds:datastoreItem xmlns:ds="http://schemas.openxmlformats.org/officeDocument/2006/customXml" ds:itemID="{8aa42418-22b9-45d7-b038-297ae844f9ee}">
  <ds:schemaRefs/>
</ds:datastoreItem>
</file>

<file path=customXml/itemProps6.xml><?xml version="1.0" encoding="utf-8"?>
<ds:datastoreItem xmlns:ds="http://schemas.openxmlformats.org/officeDocument/2006/customXml" ds:itemID="{56c9d6f1-a9f9-4dc5-9bd4-5e15d9da6311}">
  <ds:schemaRefs/>
</ds:datastoreItem>
</file>

<file path=customXml/itemProps7.xml><?xml version="1.0" encoding="utf-8"?>
<ds:datastoreItem xmlns:ds="http://schemas.openxmlformats.org/officeDocument/2006/customXml" ds:itemID="{92b967fa-b986-4798-a9f6-7ad2a8aa931c}">
  <ds:schemaRefs/>
</ds:datastoreItem>
</file>

<file path=customXml/itemProps8.xml><?xml version="1.0" encoding="utf-8"?>
<ds:datastoreItem xmlns:ds="http://schemas.openxmlformats.org/officeDocument/2006/customXml" ds:itemID="{a798d878-c46d-4df9-9f53-6e50dbf37fad}">
  <ds:schemaRefs/>
</ds:datastoreItem>
</file>

<file path=customXml/itemProps9.xml><?xml version="1.0" encoding="utf-8"?>
<ds:datastoreItem xmlns:ds="http://schemas.openxmlformats.org/officeDocument/2006/customXml" ds:itemID="{0078f3f5-6102-4220-b390-fbb8b4de7103}">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5939</Words>
  <Characters>6518</Characters>
  <Lines>0</Lines>
  <Paragraphs>0</Paragraphs>
  <TotalTime>3</TotalTime>
  <ScaleCrop>false</ScaleCrop>
  <LinksUpToDate>false</LinksUpToDate>
  <CharactersWithSpaces>6555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Administrator</cp:lastModifiedBy>
  <dcterms:modified xsi:type="dcterms:W3CDTF">2024-09-10T02:16:48Z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350AC0A557F64131AF3FF26DFA293145</vt:lpwstr>
  </property>
</Properties>
</file>