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0CA7A">
      <w:pPr>
        <w:spacing w:before="100" w:beforeLines="0" w:after="100" w:afterLines="0"/>
        <w:jc w:val="center"/>
        <w:rPr>
          <w:rFonts w:hint="eastAsia" w:ascii="宋体" w:hAnsi="宋体"/>
          <w:sz w:val="24"/>
          <w:szCs w:val="24"/>
          <w:lang w:val="zh-CN"/>
        </w:rPr>
      </w:pPr>
    </w:p>
    <w:p w14:paraId="218A7769">
      <w:pPr>
        <w:spacing w:before="100" w:beforeLines="0" w:after="100" w:afterLines="0"/>
        <w:jc w:val="center"/>
        <w:rPr>
          <w:rFonts w:hint="eastAsia" w:ascii="宋体" w:hAnsi="宋体"/>
          <w:sz w:val="24"/>
          <w:szCs w:val="24"/>
          <w:lang w:val="zh-CN"/>
        </w:rPr>
      </w:pPr>
    </w:p>
    <w:p w14:paraId="1F867A9B">
      <w:pPr>
        <w:spacing w:before="100" w:beforeLines="0" w:after="100" w:afterLines="0"/>
        <w:jc w:val="center"/>
        <w:rPr>
          <w:rFonts w:hint="eastAsia" w:ascii="宋体" w:hAnsi="宋体"/>
          <w:sz w:val="24"/>
          <w:szCs w:val="24"/>
          <w:lang w:val="zh-CN"/>
        </w:rPr>
      </w:pPr>
    </w:p>
    <w:p w14:paraId="06F4814C">
      <w:pPr>
        <w:spacing w:before="100" w:beforeLines="0" w:after="100" w:afterLines="0"/>
        <w:jc w:val="center"/>
        <w:rPr>
          <w:rFonts w:hint="eastAsia" w:ascii="宋体" w:hAnsi="宋体"/>
          <w:sz w:val="24"/>
          <w:szCs w:val="24"/>
          <w:lang w:val="zh-CN"/>
        </w:rPr>
      </w:pPr>
    </w:p>
    <w:p w14:paraId="21C57098">
      <w:pPr>
        <w:spacing w:before="100" w:beforeLines="0" w:after="100" w:afterLines="0"/>
        <w:jc w:val="center"/>
        <w:rPr>
          <w:rFonts w:hint="eastAsia" w:ascii="宋体" w:hAnsi="宋体"/>
          <w:sz w:val="24"/>
          <w:szCs w:val="24"/>
          <w:lang w:val="zh-CN"/>
        </w:rPr>
      </w:pPr>
    </w:p>
    <w:p w14:paraId="0D0A5EE7">
      <w:pPr>
        <w:spacing w:before="100" w:beforeLines="0" w:after="100" w:afterLines="0"/>
        <w:jc w:val="center"/>
        <w:rPr>
          <w:rFonts w:hint="eastAsia" w:ascii="宋体" w:hAnsi="宋体"/>
          <w:sz w:val="24"/>
          <w:szCs w:val="24"/>
          <w:lang w:val="zh-CN"/>
        </w:rPr>
      </w:pPr>
    </w:p>
    <w:p w14:paraId="48251905">
      <w:pPr>
        <w:spacing w:before="100" w:beforeLines="0" w:after="100" w:afterLines="0"/>
        <w:jc w:val="center"/>
        <w:rPr>
          <w:rFonts w:hint="eastAsia" w:ascii="宋体" w:hAnsi="宋体"/>
          <w:sz w:val="24"/>
          <w:szCs w:val="24"/>
          <w:lang w:val="zh-CN"/>
        </w:rPr>
      </w:pPr>
    </w:p>
    <w:p w14:paraId="2FAE52F7">
      <w:pPr>
        <w:spacing w:before="100" w:beforeLines="0" w:after="100" w:afterLines="0"/>
        <w:jc w:val="center"/>
        <w:rPr>
          <w:rFonts w:hint="eastAsia" w:ascii="宋体" w:hAnsi="宋体"/>
          <w:sz w:val="24"/>
          <w:szCs w:val="24"/>
          <w:lang w:val="zh-CN"/>
        </w:rPr>
      </w:pPr>
    </w:p>
    <w:p w14:paraId="0CA637D4">
      <w:pPr>
        <w:spacing w:before="100" w:beforeLines="0" w:after="100" w:afterLines="0"/>
        <w:jc w:val="center"/>
        <w:rPr>
          <w:rFonts w:hint="eastAsia" w:ascii="宋体" w:hAnsi="宋体"/>
          <w:sz w:val="24"/>
          <w:szCs w:val="24"/>
          <w:lang w:val="zh-CN"/>
        </w:rPr>
      </w:pPr>
    </w:p>
    <w:p w14:paraId="67734CB6">
      <w:pPr>
        <w:spacing w:before="100" w:beforeLines="0" w:after="100" w:afterLines="0"/>
        <w:jc w:val="center"/>
        <w:rPr>
          <w:rFonts w:hint="eastAsia" w:ascii="宋体" w:hAnsi="宋体"/>
          <w:sz w:val="24"/>
          <w:szCs w:val="24"/>
          <w:lang w:val="zh-CN"/>
        </w:rPr>
      </w:pPr>
    </w:p>
    <w:p w14:paraId="10F33B1D">
      <w:pPr>
        <w:spacing w:before="100" w:beforeLines="0" w:after="100" w:afterLines="0"/>
        <w:jc w:val="center"/>
        <w:rPr>
          <w:rFonts w:hint="eastAsia" w:ascii="宋体" w:hAnsi="宋体"/>
          <w:sz w:val="24"/>
          <w:szCs w:val="24"/>
          <w:lang w:val="zh-CN"/>
        </w:rPr>
      </w:pPr>
    </w:p>
    <w:p w14:paraId="1014D99D">
      <w:pPr>
        <w:spacing w:before="100" w:beforeLines="0" w:after="100" w:afterLines="0"/>
        <w:jc w:val="center"/>
        <w:rPr>
          <w:rFonts w:hint="eastAsia" w:ascii="宋体" w:hAnsi="宋体"/>
          <w:sz w:val="24"/>
          <w:szCs w:val="24"/>
          <w:lang w:val="zh-CN"/>
        </w:rPr>
      </w:pPr>
    </w:p>
    <w:p w14:paraId="778DD937">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14:paraId="41AADE92">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东乡族自治县中银小学部门决算</w:t>
      </w:r>
    </w:p>
    <w:p w14:paraId="65B04069">
      <w:pPr>
        <w:spacing w:before="100" w:beforeLines="0" w:after="100" w:afterLines="0"/>
        <w:jc w:val="center"/>
        <w:rPr>
          <w:rFonts w:hint="eastAsia" w:ascii="宋体" w:hAnsi="宋体"/>
          <w:sz w:val="24"/>
          <w:szCs w:val="24"/>
          <w:lang w:val="zh-CN"/>
        </w:rPr>
      </w:pPr>
    </w:p>
    <w:p w14:paraId="24F7E4EF">
      <w:pPr>
        <w:spacing w:before="100" w:beforeLines="0" w:after="100" w:afterLines="0"/>
        <w:jc w:val="center"/>
        <w:rPr>
          <w:rFonts w:hint="eastAsia" w:ascii="宋体" w:hAnsi="宋体"/>
          <w:sz w:val="24"/>
          <w:szCs w:val="24"/>
          <w:lang w:val="zh-CN"/>
        </w:rPr>
      </w:pPr>
    </w:p>
    <w:p w14:paraId="42845CAC">
      <w:pPr>
        <w:spacing w:before="100" w:beforeLines="0" w:after="100" w:afterLines="0"/>
        <w:jc w:val="center"/>
        <w:rPr>
          <w:rFonts w:hint="eastAsia" w:ascii="宋体" w:hAnsi="宋体"/>
          <w:sz w:val="24"/>
          <w:szCs w:val="24"/>
          <w:lang w:val="zh-CN"/>
        </w:rPr>
      </w:pPr>
    </w:p>
    <w:p w14:paraId="62FFDF25">
      <w:pPr>
        <w:spacing w:before="100" w:beforeLines="0" w:after="100" w:afterLines="0"/>
        <w:jc w:val="center"/>
        <w:rPr>
          <w:rFonts w:hint="eastAsia" w:ascii="宋体" w:hAnsi="宋体"/>
          <w:sz w:val="24"/>
          <w:szCs w:val="24"/>
          <w:lang w:val="zh-CN"/>
        </w:rPr>
      </w:pPr>
    </w:p>
    <w:p w14:paraId="68D3AC13">
      <w:pPr>
        <w:spacing w:before="100" w:beforeLines="0" w:after="100" w:afterLines="0"/>
        <w:jc w:val="center"/>
        <w:rPr>
          <w:rFonts w:hint="eastAsia" w:ascii="宋体" w:hAnsi="宋体"/>
          <w:sz w:val="24"/>
          <w:szCs w:val="24"/>
          <w:lang w:val="zh-CN"/>
        </w:rPr>
      </w:pPr>
    </w:p>
    <w:p w14:paraId="37952E65">
      <w:pPr>
        <w:spacing w:before="100" w:beforeLines="0" w:after="100" w:afterLines="0"/>
        <w:jc w:val="center"/>
        <w:rPr>
          <w:rFonts w:hint="eastAsia" w:ascii="宋体" w:hAnsi="宋体"/>
          <w:sz w:val="24"/>
          <w:szCs w:val="24"/>
          <w:lang w:val="zh-CN"/>
        </w:rPr>
      </w:pPr>
    </w:p>
    <w:p w14:paraId="59A2C3B8">
      <w:pPr>
        <w:spacing w:before="100" w:beforeLines="0" w:after="100" w:afterLines="0"/>
        <w:jc w:val="center"/>
        <w:rPr>
          <w:rFonts w:hint="eastAsia" w:ascii="宋体" w:hAnsi="宋体"/>
          <w:sz w:val="24"/>
          <w:szCs w:val="24"/>
          <w:lang w:val="zh-CN"/>
        </w:rPr>
      </w:pPr>
    </w:p>
    <w:p w14:paraId="4EC0508E">
      <w:pPr>
        <w:spacing w:before="100" w:beforeLines="0" w:after="100" w:afterLines="0"/>
        <w:jc w:val="center"/>
        <w:rPr>
          <w:rFonts w:hint="eastAsia" w:ascii="宋体" w:hAnsi="宋体"/>
          <w:sz w:val="24"/>
          <w:szCs w:val="24"/>
          <w:lang w:val="zh-CN"/>
        </w:rPr>
      </w:pPr>
    </w:p>
    <w:p w14:paraId="1CC55EE3">
      <w:pPr>
        <w:spacing w:before="100" w:beforeLines="0" w:after="100" w:afterLines="0"/>
        <w:jc w:val="center"/>
        <w:rPr>
          <w:rFonts w:hint="eastAsia" w:ascii="宋体" w:hAnsi="宋体"/>
          <w:sz w:val="24"/>
          <w:szCs w:val="24"/>
          <w:lang w:val="zh-CN"/>
        </w:rPr>
      </w:pPr>
    </w:p>
    <w:p w14:paraId="594BE285">
      <w:pPr>
        <w:spacing w:before="100" w:beforeLines="0" w:after="100" w:afterLines="0"/>
        <w:jc w:val="center"/>
        <w:rPr>
          <w:rFonts w:hint="eastAsia" w:ascii="宋体" w:hAnsi="宋体"/>
          <w:sz w:val="24"/>
          <w:szCs w:val="24"/>
          <w:lang w:val="zh-CN"/>
        </w:rPr>
      </w:pPr>
    </w:p>
    <w:p w14:paraId="536AEE25">
      <w:pPr>
        <w:spacing w:before="100" w:beforeLines="0" w:after="100" w:afterLines="0"/>
        <w:jc w:val="center"/>
        <w:rPr>
          <w:rFonts w:hint="eastAsia" w:ascii="宋体" w:hAnsi="宋体"/>
          <w:sz w:val="24"/>
          <w:szCs w:val="24"/>
          <w:lang w:val="zh-CN"/>
        </w:rPr>
      </w:pPr>
    </w:p>
    <w:p w14:paraId="74D2A230">
      <w:pPr>
        <w:spacing w:before="100" w:beforeLines="0" w:after="100" w:afterLines="0"/>
        <w:jc w:val="center"/>
        <w:rPr>
          <w:rFonts w:hint="eastAsia" w:ascii="宋体" w:hAnsi="宋体"/>
          <w:sz w:val="24"/>
          <w:szCs w:val="24"/>
          <w:lang w:val="zh-CN"/>
        </w:rPr>
      </w:pPr>
    </w:p>
    <w:p w14:paraId="49A54B2F">
      <w:pPr>
        <w:spacing w:before="100" w:beforeLines="0" w:after="100" w:afterLines="0"/>
        <w:jc w:val="center"/>
        <w:rPr>
          <w:rFonts w:hint="eastAsia" w:ascii="宋体" w:hAnsi="宋体"/>
          <w:sz w:val="24"/>
          <w:szCs w:val="24"/>
          <w:lang w:val="zh-CN"/>
        </w:rPr>
      </w:pPr>
    </w:p>
    <w:p w14:paraId="4D386A9A">
      <w:pPr>
        <w:spacing w:before="100" w:beforeLines="0" w:after="100" w:afterLines="0"/>
        <w:jc w:val="center"/>
        <w:rPr>
          <w:rFonts w:hint="eastAsia" w:ascii="宋体" w:hAnsi="宋体"/>
          <w:sz w:val="24"/>
          <w:szCs w:val="24"/>
          <w:lang w:val="zh-CN"/>
        </w:rPr>
      </w:pPr>
    </w:p>
    <w:p w14:paraId="4E43A33C">
      <w:pPr>
        <w:spacing w:before="100" w:beforeLines="0" w:after="100" w:afterLines="0"/>
        <w:jc w:val="center"/>
        <w:rPr>
          <w:rFonts w:hint="eastAsia" w:ascii="宋体" w:hAnsi="宋体"/>
          <w:sz w:val="24"/>
          <w:szCs w:val="24"/>
          <w:lang w:val="zh-CN"/>
        </w:rPr>
      </w:pPr>
    </w:p>
    <w:p w14:paraId="6074D7AF">
      <w:pPr>
        <w:spacing w:before="100" w:beforeLines="0" w:after="100" w:afterLines="0"/>
        <w:jc w:val="center"/>
        <w:rPr>
          <w:rFonts w:hint="eastAsia" w:ascii="宋体" w:hAnsi="宋体"/>
          <w:sz w:val="24"/>
          <w:szCs w:val="24"/>
          <w:lang w:val="zh-CN"/>
        </w:rPr>
      </w:pPr>
    </w:p>
    <w:p w14:paraId="0D6F846E">
      <w:pPr>
        <w:spacing w:before="100" w:beforeLines="0" w:after="100" w:afterLines="0"/>
        <w:jc w:val="center"/>
        <w:rPr>
          <w:rFonts w:hint="eastAsia" w:ascii="宋体" w:hAnsi="宋体"/>
          <w:sz w:val="24"/>
          <w:szCs w:val="24"/>
          <w:lang w:val="zh-CN"/>
        </w:rPr>
      </w:pPr>
    </w:p>
    <w:p w14:paraId="3B2AEC39">
      <w:pPr>
        <w:spacing w:before="100" w:beforeLines="0" w:after="100" w:afterLines="0"/>
        <w:jc w:val="center"/>
        <w:rPr>
          <w:rFonts w:hint="eastAsia" w:ascii="宋体" w:hAnsi="宋体"/>
          <w:sz w:val="24"/>
          <w:szCs w:val="24"/>
          <w:lang w:val="zh-CN"/>
        </w:rPr>
      </w:pPr>
    </w:p>
    <w:p w14:paraId="56948B9F">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14:paraId="3E11470E">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14:paraId="0FEF852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30022B3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14:paraId="06F31547">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14:paraId="0BEEC674">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14:paraId="22EA355C">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14:paraId="40B23BF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14:paraId="4AC2328C">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14:paraId="0C0913E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14:paraId="388E728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14:paraId="5C96139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14:paraId="25614504">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14:paraId="3C4A80D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14:paraId="45BFEA2C">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14:paraId="31CB507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14:paraId="31308167">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14:paraId="79C596C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14:paraId="4421EF4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14:paraId="018BA3AC">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14:paraId="274ED15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14:paraId="586ECB39">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14:paraId="094BF82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14:paraId="20934D0F">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14:paraId="7D53BE90">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14:paraId="532BF11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14:paraId="25A2D78F">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14:paraId="5BDF5B7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14:paraId="1318AFB2">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14:paraId="4D15BF26">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14:paraId="08DFB53A">
      <w:pPr>
        <w:spacing w:before="100" w:beforeLines="0" w:after="100" w:afterLines="0"/>
        <w:jc w:val="center"/>
        <w:rPr>
          <w:rFonts w:hint="eastAsia" w:ascii="宋体" w:hAnsi="宋体"/>
          <w:sz w:val="24"/>
          <w:szCs w:val="24"/>
          <w:lang w:val="zh-CN"/>
        </w:rPr>
      </w:pPr>
    </w:p>
    <w:p w14:paraId="2E9C00CF">
      <w:pPr>
        <w:spacing w:before="100" w:beforeLines="0" w:after="100" w:afterLines="0"/>
        <w:jc w:val="center"/>
        <w:rPr>
          <w:rFonts w:hint="eastAsia" w:ascii="宋体" w:hAnsi="宋体"/>
          <w:sz w:val="24"/>
          <w:szCs w:val="24"/>
          <w:lang w:val="zh-CN"/>
        </w:rPr>
      </w:pPr>
    </w:p>
    <w:p w14:paraId="786A6187">
      <w:pPr>
        <w:spacing w:before="100" w:beforeLines="0" w:after="100" w:afterLines="0"/>
        <w:jc w:val="center"/>
        <w:rPr>
          <w:rFonts w:hint="eastAsia" w:ascii="宋体" w:hAnsi="宋体"/>
          <w:sz w:val="24"/>
          <w:szCs w:val="24"/>
          <w:lang w:val="zh-CN"/>
        </w:rPr>
      </w:pPr>
    </w:p>
    <w:p w14:paraId="50EEEDBE">
      <w:pPr>
        <w:spacing w:before="100" w:beforeLines="0" w:after="100" w:afterLines="0"/>
        <w:jc w:val="center"/>
        <w:rPr>
          <w:rFonts w:hint="eastAsia" w:ascii="宋体" w:hAnsi="宋体"/>
          <w:sz w:val="24"/>
          <w:szCs w:val="24"/>
          <w:lang w:val="zh-CN"/>
        </w:rPr>
      </w:pPr>
    </w:p>
    <w:p w14:paraId="4EACA1FF">
      <w:pPr>
        <w:spacing w:before="100" w:beforeLines="0" w:after="100" w:afterLines="0"/>
        <w:jc w:val="center"/>
        <w:rPr>
          <w:rFonts w:hint="eastAsia" w:ascii="宋体" w:hAnsi="宋体"/>
          <w:sz w:val="24"/>
          <w:szCs w:val="24"/>
          <w:lang w:val="zh-CN"/>
        </w:rPr>
      </w:pPr>
    </w:p>
    <w:p w14:paraId="6A0C6096">
      <w:pPr>
        <w:spacing w:before="100" w:beforeLines="0" w:after="100" w:afterLines="0"/>
        <w:jc w:val="center"/>
        <w:rPr>
          <w:rFonts w:hint="eastAsia" w:ascii="宋体" w:hAnsi="宋体"/>
          <w:sz w:val="24"/>
          <w:szCs w:val="24"/>
          <w:lang w:val="zh-CN"/>
        </w:rPr>
      </w:pPr>
    </w:p>
    <w:p w14:paraId="5FA09EEA">
      <w:pPr>
        <w:spacing w:before="100" w:beforeLines="0" w:after="100" w:afterLines="0"/>
        <w:jc w:val="center"/>
        <w:rPr>
          <w:rFonts w:hint="eastAsia" w:ascii="宋体" w:hAnsi="宋体"/>
          <w:sz w:val="24"/>
          <w:szCs w:val="24"/>
          <w:lang w:val="zh-CN"/>
        </w:rPr>
      </w:pPr>
    </w:p>
    <w:p w14:paraId="3BC134E3">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14:paraId="5859D30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3F9F58F7">
      <w:pPr>
        <w:spacing w:before="100" w:beforeLines="0" w:after="100" w:afterLines="0"/>
        <w:ind w:firstLine="480" w:firstLineChars="200"/>
        <w:jc w:val="left"/>
        <w:rPr>
          <w:rFonts w:hint="eastAsia" w:ascii="宋体" w:hAnsi="宋体"/>
          <w:sz w:val="24"/>
          <w:szCs w:val="24"/>
          <w:lang w:val="en-US" w:eastAsia="zh-CN"/>
        </w:rPr>
      </w:pPr>
      <w:r>
        <w:rPr>
          <w:rFonts w:hint="eastAsia" w:ascii="宋体" w:hAnsi="宋体"/>
          <w:sz w:val="24"/>
          <w:szCs w:val="24"/>
          <w:lang w:val="en-US" w:eastAsia="zh-CN"/>
        </w:rPr>
        <w:t>负责锁南镇城区内6-12岁适龄儿童小学教育。</w:t>
      </w:r>
    </w:p>
    <w:p w14:paraId="356DEBD7">
      <w:pPr>
        <w:spacing w:before="100" w:beforeLines="0" w:after="100" w:afterLines="0"/>
        <w:jc w:val="left"/>
        <w:rPr>
          <w:rFonts w:hint="eastAsia" w:ascii="宋体" w:hAnsi="宋体"/>
          <w:color w:val="FF0000"/>
          <w:sz w:val="24"/>
          <w:szCs w:val="24"/>
          <w:lang w:val="en-US" w:eastAsia="zh-CN"/>
        </w:rPr>
      </w:pPr>
      <w:r>
        <w:rPr>
          <w:rFonts w:hint="eastAsia" w:ascii="宋体" w:hAnsi="宋体"/>
          <w:sz w:val="24"/>
          <w:szCs w:val="24"/>
          <w:lang w:val="en-US" w:eastAsia="zh-CN"/>
        </w:rPr>
        <w:t>二、</w:t>
      </w:r>
      <w:r>
        <w:rPr>
          <w:rFonts w:hint="eastAsia" w:ascii="宋体" w:hAnsi="宋体"/>
          <w:color w:val="auto"/>
          <w:sz w:val="24"/>
          <w:szCs w:val="24"/>
          <w:lang w:val="zh-CN"/>
        </w:rPr>
        <w:t>机构设置</w:t>
      </w:r>
    </w:p>
    <w:p w14:paraId="06098ACF">
      <w:pPr>
        <w:spacing w:before="100" w:beforeLines="0" w:after="100" w:afterLines="0"/>
        <w:ind w:firstLine="480" w:firstLineChars="200"/>
        <w:jc w:val="left"/>
        <w:rPr>
          <w:rFonts w:hint="default" w:ascii="宋体" w:hAnsi="宋体"/>
          <w:sz w:val="24"/>
          <w:szCs w:val="24"/>
          <w:lang w:val="en-US" w:eastAsia="zh-CN"/>
        </w:rPr>
      </w:pPr>
      <w:r>
        <w:rPr>
          <w:rFonts w:hint="eastAsia" w:ascii="宋体" w:hAnsi="宋体"/>
          <w:sz w:val="24"/>
          <w:szCs w:val="24"/>
          <w:lang w:val="en-US" w:eastAsia="zh-CN"/>
        </w:rPr>
        <w:t>中银小学属于财政全额拨款事业单位，现有编制69人，均为事业单位。年末实有人数70人。</w:t>
      </w:r>
    </w:p>
    <w:p w14:paraId="68B9757D">
      <w:pPr>
        <w:numPr>
          <w:ilvl w:val="0"/>
          <w:numId w:val="0"/>
        </w:numPr>
        <w:spacing w:before="100" w:beforeLines="0" w:after="100" w:afterLines="0"/>
        <w:ind w:firstLine="2650" w:firstLineChars="1100"/>
        <w:jc w:val="left"/>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14:paraId="3852E77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一、收入支出决算总表</w:t>
      </w:r>
    </w:p>
    <w:p w14:paraId="619E8179">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955" cy="4201795"/>
            <wp:effectExtent l="0" t="0" r="4445" b="8255"/>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4"/>
                    <a:stretch>
                      <a:fillRect/>
                    </a:stretch>
                  </pic:blipFill>
                  <pic:spPr>
                    <a:xfrm>
                      <a:off x="0" y="0"/>
                      <a:ext cx="5481955" cy="4201795"/>
                    </a:xfrm>
                    <a:prstGeom prst="rect">
                      <a:avLst/>
                    </a:prstGeom>
                  </pic:spPr>
                </pic:pic>
              </a:graphicData>
            </a:graphic>
          </wp:inline>
        </w:drawing>
      </w:r>
    </w:p>
    <w:p w14:paraId="64A64E3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二、收入决算表</w:t>
      </w:r>
    </w:p>
    <w:p w14:paraId="4AB9E8FF">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5765" cy="1520190"/>
            <wp:effectExtent l="0" t="0" r="635" b="3810"/>
            <wp:docPr id="2" name="图片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
                    <pic:cNvPicPr>
                      <a:picLocks noChangeAspect="1"/>
                    </pic:cNvPicPr>
                  </pic:nvPicPr>
                  <pic:blipFill>
                    <a:blip r:embed="rId5"/>
                    <a:stretch>
                      <a:fillRect/>
                    </a:stretch>
                  </pic:blipFill>
                  <pic:spPr>
                    <a:xfrm>
                      <a:off x="0" y="0"/>
                      <a:ext cx="5485765" cy="1520190"/>
                    </a:xfrm>
                    <a:prstGeom prst="rect">
                      <a:avLst/>
                    </a:prstGeom>
                  </pic:spPr>
                </pic:pic>
              </a:graphicData>
            </a:graphic>
          </wp:inline>
        </w:drawing>
      </w:r>
    </w:p>
    <w:p w14:paraId="3883B506">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三、支出决算表</w:t>
      </w:r>
    </w:p>
    <w:p w14:paraId="6E384B6B">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5130" cy="1566545"/>
            <wp:effectExtent l="0" t="0" r="1270" b="14605"/>
            <wp:docPr id="3"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
                    <pic:cNvPicPr>
                      <a:picLocks noChangeAspect="1"/>
                    </pic:cNvPicPr>
                  </pic:nvPicPr>
                  <pic:blipFill>
                    <a:blip r:embed="rId6"/>
                    <a:stretch>
                      <a:fillRect/>
                    </a:stretch>
                  </pic:blipFill>
                  <pic:spPr>
                    <a:xfrm>
                      <a:off x="0" y="0"/>
                      <a:ext cx="5485130" cy="1566545"/>
                    </a:xfrm>
                    <a:prstGeom prst="rect">
                      <a:avLst/>
                    </a:prstGeom>
                  </pic:spPr>
                </pic:pic>
              </a:graphicData>
            </a:graphic>
          </wp:inline>
        </w:drawing>
      </w:r>
    </w:p>
    <w:p w14:paraId="59B1E38D">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四、财政拨款收入支出决算总表</w:t>
      </w:r>
    </w:p>
    <w:p w14:paraId="35B8127C">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76875" cy="3759835"/>
            <wp:effectExtent l="0" t="0" r="9525" b="12065"/>
            <wp:docPr id="4" name="图片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4"/>
                    <pic:cNvPicPr>
                      <a:picLocks noChangeAspect="1"/>
                    </pic:cNvPicPr>
                  </pic:nvPicPr>
                  <pic:blipFill>
                    <a:blip r:embed="rId7"/>
                    <a:stretch>
                      <a:fillRect/>
                    </a:stretch>
                  </pic:blipFill>
                  <pic:spPr>
                    <a:xfrm>
                      <a:off x="0" y="0"/>
                      <a:ext cx="5476875" cy="3759835"/>
                    </a:xfrm>
                    <a:prstGeom prst="rect">
                      <a:avLst/>
                    </a:prstGeom>
                  </pic:spPr>
                </pic:pic>
              </a:graphicData>
            </a:graphic>
          </wp:inline>
        </w:drawing>
      </w:r>
    </w:p>
    <w:p w14:paraId="07E89C77">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五、一般公共预算财政拨款支出决算表</w:t>
      </w:r>
    </w:p>
    <w:p w14:paraId="1DEF7CEB">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955" cy="2128520"/>
            <wp:effectExtent l="0" t="0" r="4445" b="5080"/>
            <wp:docPr id="5" name="图片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5"/>
                    <pic:cNvPicPr>
                      <a:picLocks noChangeAspect="1"/>
                    </pic:cNvPicPr>
                  </pic:nvPicPr>
                  <pic:blipFill>
                    <a:blip r:embed="rId8"/>
                    <a:stretch>
                      <a:fillRect/>
                    </a:stretch>
                  </pic:blipFill>
                  <pic:spPr>
                    <a:xfrm>
                      <a:off x="0" y="0"/>
                      <a:ext cx="5481955" cy="2128520"/>
                    </a:xfrm>
                    <a:prstGeom prst="rect">
                      <a:avLst/>
                    </a:prstGeom>
                  </pic:spPr>
                </pic:pic>
              </a:graphicData>
            </a:graphic>
          </wp:inline>
        </w:drawing>
      </w:r>
    </w:p>
    <w:p w14:paraId="22394F08">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六、一般公共预算财政拨款基本支出决算明细表</w:t>
      </w:r>
    </w:p>
    <w:p w14:paraId="3DFF71BD">
      <w:pPr>
        <w:spacing w:before="100" w:beforeLines="0" w:after="100" w:afterLines="0"/>
        <w:jc w:val="left"/>
        <w:rPr>
          <w:rFonts w:hint="eastAsia" w:ascii="宋体" w:hAnsi="宋体"/>
          <w:color w:val="auto"/>
          <w:sz w:val="24"/>
          <w:szCs w:val="24"/>
          <w:lang w:val="zh-CN"/>
        </w:rPr>
      </w:pPr>
      <w:bookmarkStart w:id="0" w:name="_GoBack"/>
      <w:r>
        <w:rPr>
          <w:rFonts w:hint="eastAsia" w:ascii="宋体" w:hAnsi="宋体"/>
          <w:color w:val="auto"/>
          <w:sz w:val="24"/>
          <w:szCs w:val="24"/>
          <w:lang w:val="zh-CN"/>
        </w:rPr>
        <w:drawing>
          <wp:inline distT="0" distB="0" distL="114300" distR="114300">
            <wp:extent cx="5478780" cy="2968625"/>
            <wp:effectExtent l="0" t="0" r="7620" b="3175"/>
            <wp:docPr id="6" name="图片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6"/>
                    <pic:cNvPicPr>
                      <a:picLocks noChangeAspect="1"/>
                    </pic:cNvPicPr>
                  </pic:nvPicPr>
                  <pic:blipFill>
                    <a:blip r:embed="rId9"/>
                    <a:stretch>
                      <a:fillRect/>
                    </a:stretch>
                  </pic:blipFill>
                  <pic:spPr>
                    <a:xfrm>
                      <a:off x="0" y="0"/>
                      <a:ext cx="5478780" cy="2968625"/>
                    </a:xfrm>
                    <a:prstGeom prst="rect">
                      <a:avLst/>
                    </a:prstGeom>
                  </pic:spPr>
                </pic:pic>
              </a:graphicData>
            </a:graphic>
          </wp:inline>
        </w:drawing>
      </w:r>
      <w:bookmarkEnd w:id="0"/>
    </w:p>
    <w:p w14:paraId="242B0CD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七、政府性基金预算财政拨款收入支出决算表（本部门没有相关数据,故本表无数据）</w:t>
      </w:r>
    </w:p>
    <w:p w14:paraId="135FAA6E">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八、国有资本经营预算财政拨款支出决算表（本部门没有相关数据,故本表无数据）</w:t>
      </w:r>
    </w:p>
    <w:p w14:paraId="79E8AB5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九、财政拨款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经费支出决算表（本部门没有相关数据,故本表无数据）</w:t>
      </w:r>
    </w:p>
    <w:p w14:paraId="65F36744">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14:paraId="3C304BEF">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14:paraId="4BFF0BFF">
      <w:pPr>
        <w:spacing w:before="100" w:beforeLines="0" w:after="100" w:afterLines="0"/>
        <w:jc w:val="left"/>
        <w:rPr>
          <w:rFonts w:hint="eastAsia" w:ascii="宋体" w:hAnsi="宋体"/>
          <w:color w:val="FF0000"/>
          <w:sz w:val="24"/>
          <w:szCs w:val="24"/>
          <w:lang w:val="en-US" w:eastAsia="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1104.90万元。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增加16.36万元,增长1.5%,主要原因是</w:t>
      </w:r>
      <w:r>
        <w:rPr>
          <w:rFonts w:hint="eastAsia" w:ascii="宋体" w:hAnsi="宋体"/>
          <w:color w:val="auto"/>
          <w:sz w:val="24"/>
          <w:szCs w:val="24"/>
          <w:lang w:val="en-US" w:eastAsia="zh-CN"/>
        </w:rPr>
        <w:t>教师人数增加，工资增加。</w:t>
      </w:r>
    </w:p>
    <w:p w14:paraId="6A70F63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14:paraId="5A30D64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2023年度收入合计1036.75万元,其中：财政拨款收入1036.75万元,占100.00%。</w:t>
      </w:r>
    </w:p>
    <w:p w14:paraId="5B9295B9">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三、支出决算情况说明</w:t>
      </w:r>
    </w:p>
    <w:p w14:paraId="2B74E247">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2023年度支出合计1036.75万元,其中：基本支出848.66万元,占81.86%；项目支出188.08万元,占18.14%。</w:t>
      </w:r>
    </w:p>
    <w:p w14:paraId="5EAA3A4E">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14:paraId="4B4FCC1F">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1104.90万元。与</w:t>
      </w:r>
      <w:r>
        <w:rPr>
          <w:rFonts w:hint="eastAsia" w:ascii="宋体" w:hAnsi="宋体"/>
          <w:color w:val="auto"/>
          <w:sz w:val="24"/>
          <w:szCs w:val="24"/>
          <w:lang w:val="en-US"/>
        </w:rPr>
        <w:t>上</w:t>
      </w:r>
      <w:r>
        <w:rPr>
          <w:rFonts w:hint="eastAsia" w:ascii="宋体" w:hAnsi="宋体"/>
          <w:color w:val="auto"/>
          <w:sz w:val="24"/>
          <w:szCs w:val="24"/>
          <w:lang w:val="zh-CN"/>
        </w:rPr>
        <w:t>年相比,各增加16.36万元,增长1.5%。主要原因是</w:t>
      </w:r>
      <w:r>
        <w:rPr>
          <w:rFonts w:hint="eastAsia" w:ascii="宋体" w:hAnsi="宋体"/>
          <w:color w:val="auto"/>
          <w:sz w:val="24"/>
          <w:szCs w:val="24"/>
          <w:lang w:val="en-US" w:eastAsia="zh-CN"/>
        </w:rPr>
        <w:t>教师人数增加，工资增加。</w:t>
      </w:r>
    </w:p>
    <w:p w14:paraId="3B8A94D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14:paraId="3025F4D3">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14:paraId="19B811F2">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2023年度一般公共预算财政拨款支出1036.75万元,较上年决算数增加16.36万元,增长1.6%。主要原因是</w:t>
      </w:r>
      <w:r>
        <w:rPr>
          <w:rFonts w:hint="eastAsia" w:ascii="宋体" w:hAnsi="宋体"/>
          <w:color w:val="auto"/>
          <w:sz w:val="24"/>
          <w:szCs w:val="24"/>
          <w:lang w:val="en-US" w:eastAsia="zh-CN"/>
        </w:rPr>
        <w:t>教师人数增加，工资增加。</w:t>
      </w:r>
    </w:p>
    <w:p w14:paraId="34DFA102">
      <w:pPr>
        <w:numPr>
          <w:ilvl w:val="0"/>
          <w:numId w:val="1"/>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14:paraId="7CE130DC">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1036.75万元，主要用于以下方面：教育支出853.95万元,占82.37%；社会保障和就业支出83.16万元,占8.02%；卫生健康支出36.05万元,占3.48%；住房保障支出63.58万元,占6.13%。</w:t>
      </w:r>
    </w:p>
    <w:p w14:paraId="0E7908EE">
      <w:pPr>
        <w:numPr>
          <w:ilvl w:val="0"/>
          <w:numId w:val="1"/>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14:paraId="3751ECF1">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877.16万元,支出决算为1036.75万元,完成年初预算的118.19%。其中：</w:t>
      </w:r>
    </w:p>
    <w:p w14:paraId="2D2A754B">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1.</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年初预算数为689.66万元,支出决算为853.95万元,完成年初预算的123.82%,决算数大于预算数</w:t>
      </w:r>
      <w:r>
        <w:rPr>
          <w:rFonts w:hint="eastAsia" w:ascii="宋体" w:hAnsi="宋体"/>
          <w:color w:val="auto"/>
          <w:sz w:val="24"/>
          <w:szCs w:val="24"/>
          <w:lang w:val="zh-CN" w:eastAsia="zh-CN"/>
        </w:rPr>
        <w:t>的主要原因是</w:t>
      </w:r>
      <w:r>
        <w:rPr>
          <w:rFonts w:hint="eastAsia" w:ascii="宋体" w:hAnsi="宋体"/>
          <w:color w:val="auto"/>
          <w:sz w:val="24"/>
          <w:szCs w:val="24"/>
          <w:lang w:val="en-US" w:eastAsia="zh-CN"/>
        </w:rPr>
        <w:t>上年度未支出部分本年进行了支出</w:t>
      </w:r>
    </w:p>
    <w:p w14:paraId="457E3ECD">
      <w:pPr>
        <w:spacing w:before="100" w:beforeLines="0" w:after="100" w:afterLines="0"/>
        <w:jc w:val="left"/>
        <w:rPr>
          <w:rFonts w:hint="default" w:ascii="宋体" w:hAnsi="宋体"/>
          <w:color w:val="auto"/>
          <w:sz w:val="24"/>
          <w:szCs w:val="24"/>
          <w:lang w:val="en-US" w:eastAsia="zh-CN"/>
        </w:rPr>
      </w:pPr>
      <w:r>
        <w:rPr>
          <w:rFonts w:hint="eastAsia" w:ascii="宋体" w:hAnsi="宋体"/>
          <w:b/>
          <w:color w:val="auto"/>
          <w:sz w:val="24"/>
          <w:szCs w:val="24"/>
          <w:lang w:val="en-US" w:eastAsia="zh-CN"/>
        </w:rPr>
        <w:t>2</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年初预算数为87.17万元,支出决算为83.16万元,完成年初预算的95.41%,决算数小于预算数的主要原因是</w:t>
      </w:r>
      <w:r>
        <w:rPr>
          <w:rFonts w:hint="eastAsia" w:ascii="宋体" w:hAnsi="宋体"/>
          <w:color w:val="auto"/>
          <w:sz w:val="24"/>
          <w:szCs w:val="24"/>
          <w:lang w:val="en-US" w:eastAsia="zh-CN"/>
        </w:rPr>
        <w:t>养老未缴清。</w:t>
      </w:r>
    </w:p>
    <w:p w14:paraId="1180E31E">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en-US" w:eastAsia="zh-CN"/>
        </w:rPr>
        <w:t>3</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年初预算数为35.77万元,支出决算为36.05万元,完成年初预算的100.76%,决算数大于预算数的主要原因是</w:t>
      </w:r>
      <w:r>
        <w:rPr>
          <w:rFonts w:hint="eastAsia" w:ascii="宋体" w:hAnsi="宋体"/>
          <w:color w:val="auto"/>
          <w:sz w:val="24"/>
          <w:szCs w:val="24"/>
          <w:lang w:val="en-US" w:eastAsia="zh-CN"/>
        </w:rPr>
        <w:t>上年度未交清医疗保险于本年度进行了缴清</w:t>
      </w:r>
      <w:r>
        <w:rPr>
          <w:rFonts w:hint="eastAsia" w:ascii="宋体" w:hAnsi="宋体"/>
          <w:color w:val="auto"/>
          <w:sz w:val="24"/>
          <w:szCs w:val="24"/>
          <w:lang w:val="zh-CN"/>
        </w:rPr>
        <w:t>。</w:t>
      </w:r>
    </w:p>
    <w:p w14:paraId="245453FD">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4</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年初预算数为64.57万元,支出决算为63.58万元,完成年初预算的98.47%,决算数小于预算数的主要原因是</w:t>
      </w:r>
      <w:r>
        <w:rPr>
          <w:rFonts w:hint="eastAsia" w:ascii="宋体" w:hAnsi="宋体"/>
          <w:color w:val="auto"/>
          <w:sz w:val="24"/>
          <w:szCs w:val="24"/>
          <w:lang w:val="en-US" w:eastAsia="zh-CN"/>
        </w:rPr>
        <w:t>12月份住房公积金未下达</w:t>
      </w:r>
      <w:r>
        <w:rPr>
          <w:rFonts w:hint="eastAsia" w:ascii="宋体" w:hAnsi="宋体"/>
          <w:color w:val="auto"/>
          <w:sz w:val="24"/>
          <w:szCs w:val="24"/>
          <w:lang w:val="zh-CN"/>
        </w:rPr>
        <w:t>。</w:t>
      </w:r>
    </w:p>
    <w:p w14:paraId="3C557E76">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14:paraId="6AF2EAE8">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2023年度一般公共预算财政拨款基本支出848.66万元。其中：</w:t>
      </w:r>
    </w:p>
    <w:p w14:paraId="71820A47">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人员经费</w:t>
      </w:r>
      <w:r>
        <w:rPr>
          <w:rFonts w:hint="eastAsia" w:ascii="宋体" w:hAnsi="宋体"/>
          <w:color w:val="auto"/>
          <w:sz w:val="24"/>
          <w:szCs w:val="24"/>
          <w:lang w:val="zh-CN"/>
        </w:rPr>
        <w:t>848.66万元,较上年决算数减少98.11万元,下降10.36%,主要原因是</w:t>
      </w:r>
      <w:r>
        <w:rPr>
          <w:rFonts w:hint="eastAsia" w:ascii="宋体" w:hAnsi="宋体"/>
          <w:color w:val="auto"/>
          <w:sz w:val="24"/>
          <w:szCs w:val="24"/>
          <w:lang w:val="en-US" w:eastAsia="zh-CN"/>
        </w:rPr>
        <w:t>上年度补贴类人员经费较多</w:t>
      </w:r>
      <w:r>
        <w:rPr>
          <w:rFonts w:hint="eastAsia" w:ascii="宋体" w:hAnsi="宋体"/>
          <w:color w:val="auto"/>
          <w:sz w:val="24"/>
          <w:szCs w:val="24"/>
          <w:lang w:val="zh-CN"/>
        </w:rPr>
        <w:t>。人员经费用途主要包括基本工资1110267.9</w:t>
      </w:r>
      <w:r>
        <w:rPr>
          <w:rFonts w:hint="eastAsia" w:ascii="宋体" w:hAnsi="宋体"/>
          <w:color w:val="auto"/>
          <w:sz w:val="24"/>
          <w:szCs w:val="24"/>
          <w:lang w:val="en-US" w:eastAsia="zh-CN"/>
        </w:rPr>
        <w:t>元</w:t>
      </w:r>
      <w:r>
        <w:rPr>
          <w:rFonts w:hint="eastAsia" w:ascii="宋体" w:hAnsi="宋体"/>
          <w:color w:val="auto"/>
          <w:sz w:val="24"/>
          <w:szCs w:val="24"/>
          <w:lang w:val="zh-CN"/>
        </w:rPr>
        <w:t>、津贴补贴</w:t>
      </w:r>
      <w:r>
        <w:rPr>
          <w:rFonts w:hint="eastAsia" w:ascii="宋体" w:hAnsi="宋体"/>
          <w:color w:val="auto"/>
          <w:sz w:val="24"/>
          <w:szCs w:val="24"/>
          <w:lang w:val="en-US" w:eastAsia="zh-CN"/>
        </w:rPr>
        <w:t>284.68万元</w:t>
      </w:r>
      <w:r>
        <w:rPr>
          <w:rFonts w:hint="eastAsia" w:ascii="宋体" w:hAnsi="宋体"/>
          <w:color w:val="auto"/>
          <w:sz w:val="24"/>
          <w:szCs w:val="24"/>
          <w:lang w:val="zh-CN"/>
        </w:rPr>
        <w:t>、奖金</w:t>
      </w:r>
      <w:r>
        <w:rPr>
          <w:rFonts w:hint="eastAsia" w:ascii="宋体" w:hAnsi="宋体"/>
          <w:color w:val="auto"/>
          <w:sz w:val="24"/>
          <w:szCs w:val="24"/>
          <w:lang w:val="en-US" w:eastAsia="zh-CN"/>
        </w:rPr>
        <w:t>98.12万元</w:t>
      </w:r>
      <w:r>
        <w:rPr>
          <w:rFonts w:hint="eastAsia" w:ascii="宋体" w:hAnsi="宋体"/>
          <w:color w:val="auto"/>
          <w:sz w:val="24"/>
          <w:szCs w:val="24"/>
          <w:lang w:val="zh-CN"/>
        </w:rPr>
        <w:t>、机关事业单位基本养老保险缴费</w:t>
      </w:r>
      <w:r>
        <w:rPr>
          <w:rFonts w:hint="eastAsia" w:ascii="宋体" w:hAnsi="宋体"/>
          <w:color w:val="auto"/>
          <w:sz w:val="24"/>
          <w:szCs w:val="24"/>
          <w:lang w:val="en-US" w:eastAsia="zh-CN"/>
        </w:rPr>
        <w:t>82.65万元</w:t>
      </w:r>
      <w:r>
        <w:rPr>
          <w:rFonts w:hint="eastAsia" w:ascii="宋体" w:hAnsi="宋体"/>
          <w:color w:val="auto"/>
          <w:sz w:val="24"/>
          <w:szCs w:val="24"/>
          <w:lang w:val="zh-CN"/>
        </w:rPr>
        <w:t>、</w:t>
      </w:r>
      <w:r>
        <w:rPr>
          <w:rFonts w:hint="eastAsia" w:ascii="宋体" w:hAnsi="宋体"/>
          <w:color w:val="auto"/>
          <w:sz w:val="24"/>
          <w:szCs w:val="24"/>
          <w:lang w:val="en-US" w:eastAsia="zh-CN"/>
        </w:rPr>
        <w:t>医保缴费35.10万元、 其他社会保障缴费1.31万元、住房公积金58.42元。</w:t>
      </w:r>
    </w:p>
    <w:p w14:paraId="7E638280">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zh-CN"/>
        </w:rPr>
        <w:t>公用经费</w:t>
      </w:r>
      <w:r>
        <w:rPr>
          <w:rFonts w:hint="eastAsia" w:ascii="宋体" w:hAnsi="宋体"/>
          <w:color w:val="auto"/>
          <w:sz w:val="24"/>
          <w:szCs w:val="24"/>
          <w:lang w:val="zh-CN"/>
        </w:rPr>
        <w:t>0.00万元,较上年决算数减少73.61万元,下降100.0%。</w:t>
      </w:r>
    </w:p>
    <w:p w14:paraId="22718E0C">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14:paraId="2FC6200E">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本部门2023年度无政府性基金收入,也没有使用政府性基金安排的支出。</w:t>
      </w:r>
    </w:p>
    <w:p w14:paraId="0AEB1CC5">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14:paraId="1DFCA6A7">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本部门2023年度没有使用国有资本经营预算安排的支出</w:t>
      </w:r>
    </w:p>
    <w:p w14:paraId="2B8517DD">
      <w:pPr>
        <w:spacing w:before="100" w:beforeLines="0" w:after="100" w:afterLines="0"/>
        <w:jc w:val="left"/>
        <w:rPr>
          <w:rFonts w:hint="eastAsia" w:ascii="宋体" w:hAnsi="宋体"/>
          <w:color w:val="FF0000"/>
          <w:sz w:val="24"/>
          <w:szCs w:val="24"/>
          <w:lang w:val="zh-CN"/>
        </w:rPr>
      </w:pPr>
    </w:p>
    <w:p w14:paraId="5074790B">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14:paraId="49DFFE4D">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我单位属于</w:t>
      </w:r>
      <w:r>
        <w:rPr>
          <w:rFonts w:hint="eastAsia" w:ascii="宋体" w:hAnsi="宋体"/>
          <w:color w:val="auto"/>
          <w:sz w:val="24"/>
          <w:szCs w:val="24"/>
          <w:lang w:val="en-US" w:eastAsia="zh-CN"/>
        </w:rPr>
        <w:t>财政全额拨款事业单位</w:t>
      </w:r>
      <w:r>
        <w:rPr>
          <w:rFonts w:hint="eastAsia" w:ascii="宋体" w:hAnsi="宋体"/>
          <w:color w:val="auto"/>
          <w:sz w:val="24"/>
          <w:szCs w:val="24"/>
          <w:lang w:val="zh-CN"/>
        </w:rPr>
        <w:t>,</w:t>
      </w:r>
      <w:r>
        <w:rPr>
          <w:rFonts w:hint="eastAsia" w:ascii="宋体" w:hAnsi="宋体"/>
          <w:color w:val="auto"/>
          <w:sz w:val="24"/>
          <w:szCs w:val="24"/>
          <w:lang w:val="en-US" w:eastAsia="zh-CN"/>
        </w:rPr>
        <w:t>不涉及</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auto"/>
          <w:sz w:val="24"/>
          <w:szCs w:val="24"/>
          <w:lang w:val="en-US" w:eastAsia="zh-CN"/>
        </w:rPr>
        <w:t>支出</w:t>
      </w:r>
      <w:r>
        <w:rPr>
          <w:rFonts w:hint="eastAsia" w:ascii="宋体" w:hAnsi="宋体"/>
          <w:color w:val="auto"/>
          <w:sz w:val="24"/>
          <w:szCs w:val="24"/>
          <w:lang w:val="zh-CN"/>
        </w:rPr>
        <w:t>。</w:t>
      </w:r>
    </w:p>
    <w:p w14:paraId="0CAEA4B9">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14:paraId="053CD263">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我单位2023年度无机关运行相关经费。</w:t>
      </w:r>
    </w:p>
    <w:p w14:paraId="5C18FC7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14:paraId="40A3DD8D">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我单位2023年度无政府采购相关经费。</w:t>
      </w:r>
    </w:p>
    <w:p w14:paraId="753020F6">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14:paraId="0D1A395E">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0辆,其中,副部(省)级及以上领导用车0辆、主要领导干部用车0辆、机要通信用车0辆、应急保障用车0辆、执法执勤用车0辆,特种专业技术用车0辆,离退休干部用车0辆,其他用车0辆。单价100万元(含)以上设备0台(套)。</w:t>
      </w:r>
    </w:p>
    <w:p w14:paraId="135CBB3A">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14:paraId="07AA49FF">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14:paraId="057ADD82">
      <w:pPr>
        <w:spacing w:before="100" w:beforeLines="0" w:after="100" w:afterLines="0"/>
        <w:jc w:val="left"/>
        <w:rPr>
          <w:rFonts w:hint="eastAsia" w:ascii="宋体" w:hAnsi="宋体"/>
          <w:color w:val="FF0000"/>
          <w:sz w:val="24"/>
          <w:szCs w:val="24"/>
          <w:lang w:val="zh-CN"/>
        </w:rPr>
      </w:pPr>
    </w:p>
    <w:p w14:paraId="44F13C58">
      <w:pPr>
        <w:spacing w:before="100" w:beforeLines="0" w:after="100" w:afterLines="0"/>
        <w:jc w:val="left"/>
        <w:rPr>
          <w:rFonts w:hint="eastAsia" w:ascii="宋体" w:hAnsi="宋体"/>
          <w:color w:val="auto"/>
          <w:sz w:val="24"/>
          <w:szCs w:val="24"/>
          <w:lang w:val="zh-CN"/>
        </w:rPr>
      </w:pPr>
    </w:p>
    <w:p w14:paraId="251E1798">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14:paraId="3778235B">
      <w:pPr>
        <w:spacing w:before="100" w:beforeLines="0" w:after="100" w:afterLines="0"/>
        <w:ind w:firstLine="480" w:firstLineChars="20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本单位未开展预算绩效管理</w:t>
      </w:r>
    </w:p>
    <w:p w14:paraId="1D874DCD">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14:paraId="3DC5F68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14:paraId="5DE4AA35">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14:paraId="71DB4CBE">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14:paraId="197E1E92">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14:paraId="41C7D112">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14:paraId="1B917C30">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14:paraId="5B382C89">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14:paraId="0AA947B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14:paraId="67B7A8C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14:paraId="615DA69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14:paraId="4601B7A7">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14:paraId="446E7EF6">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4ED35BA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0DE7E97A">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14:paraId="5562C3C9">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（根据“收入决算表”和“支出决算表”，参照第十四项说明，对本部门所有涉及到的项级支出功能科目进行说明，注意不要重复，并调整段落序号）</w:t>
      </w:r>
    </w:p>
    <w:p w14:paraId="4AE8CF3E">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wYWE0YzMzNjc0YjAxMTcxODBkMWY0OGRjOTEwNzIifQ=="/>
  </w:docVars>
  <w:rsids>
    <w:rsidRoot w:val="00000000"/>
    <w:rsid w:val="13584E35"/>
    <w:rsid w:val="25F81DFA"/>
    <w:rsid w:val="56F26A4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9.xml"/><Relationship Id="rId18" Type="http://schemas.openxmlformats.org/officeDocument/2006/relationships/customXml" Target="../customXml/item8.xml"/><Relationship Id="rId17" Type="http://schemas.openxmlformats.org/officeDocument/2006/relationships/customXml" Target="../customXml/item7.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3.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6.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2024-08-09T09:53:21Z</dcterms:modified>
</cp:coreProperties>
</file>

<file path=customXml/item9.xml><?xml version="1.0" encoding="utf-8"?>
<Properties xmlns:vt="http://schemas.openxmlformats.org/officeDocument/2006/docPropsVTypes" xmlns="http://schemas.openxmlformats.org/officeDocument/2006/extended-properties">
  <Template>Normal.dotm</Template>
  <TotalTime>1</TotalTime>
  <Pages>15</Pages>
  <Words>7172</Words>
  <Characters>19277</Characters>
  <Application>WPS Office_11.1.0.12980_F1E327BC-269C-435d-A152-05C5408002CA</Application>
  <DocSecurity>0</DocSecurity>
  <Lines>0</Lines>
  <Paragraphs>0</Paragraphs>
  <CharactersWithSpaces>19281</CharactersWithSpaces>
  <AppVersion>14.0000</AppVersion>
</Properties>
</file>

<file path=customXml/itemProps1.xml><?xml version="1.0" encoding="utf-8"?>
<ds:datastoreItem xmlns:ds="http://schemas.openxmlformats.org/officeDocument/2006/customXml" ds:itemID="{44ea83aa-04bd-4bea-9619-3aa8aac1c2ec}">
  <ds:schemaRefs/>
</ds:datastoreItem>
</file>

<file path=customXml/itemProps2.xml><?xml version="1.0" encoding="utf-8"?>
<ds:datastoreItem xmlns:ds="http://schemas.openxmlformats.org/officeDocument/2006/customXml" ds:itemID="{f68f3b42-cdc3-4df7-9776-ed074530d6bb}">
  <ds:schemaRefs/>
</ds:datastoreItem>
</file>

<file path=customXml/itemProps3.xml><?xml version="1.0" encoding="utf-8"?>
<ds:datastoreItem xmlns:ds="http://schemas.openxmlformats.org/officeDocument/2006/customXml" ds:itemID="{29cdfaa9-76bd-4be4-90f8-01a516e6d9d8}">
  <ds:schemaRefs/>
</ds:datastoreItem>
</file>

<file path=customXml/itemProps4.xml><?xml version="1.0" encoding="utf-8"?>
<ds:datastoreItem xmlns:ds="http://schemas.openxmlformats.org/officeDocument/2006/customXml" ds:itemID="{93056215-e646-4258-ace4-9589f3200df5}">
  <ds:schemaRefs/>
</ds:datastoreItem>
</file>

<file path=customXml/itemProps5.xml><?xml version="1.0" encoding="utf-8"?>
<ds:datastoreItem xmlns:ds="http://schemas.openxmlformats.org/officeDocument/2006/customXml" ds:itemID="{3fe1819e-8d71-4e59-bd4b-52126e47bc7a}">
  <ds:schemaRefs/>
</ds:datastoreItem>
</file>

<file path=customXml/itemProps6.xml><?xml version="1.0" encoding="utf-8"?>
<ds:datastoreItem xmlns:ds="http://schemas.openxmlformats.org/officeDocument/2006/customXml" ds:itemID="{c157a579-c332-4a79-9d69-2fd9d7d14567}">
  <ds:schemaRefs/>
</ds:datastoreItem>
</file>

<file path=customXml/itemProps7.xml><?xml version="1.0" encoding="utf-8"?>
<ds:datastoreItem xmlns:ds="http://schemas.openxmlformats.org/officeDocument/2006/customXml" ds:itemID="{e5b30542-c6e3-4698-b9a0-08173a6c6f55}">
  <ds:schemaRefs/>
</ds:datastoreItem>
</file>

<file path=customXml/itemProps8.xml><?xml version="1.0" encoding="utf-8"?>
<ds:datastoreItem xmlns:ds="http://schemas.openxmlformats.org/officeDocument/2006/customXml" ds:itemID="{4ff4a800-656f-4f14-9622-b123d63759fe}">
  <ds:schemaRefs/>
</ds:datastoreItem>
</file>

<file path=customXml/itemProps9.xml><?xml version="1.0" encoding="utf-8"?>
<ds:datastoreItem xmlns:ds="http://schemas.openxmlformats.org/officeDocument/2006/customXml" ds:itemID="{6dffe2e9-1e0d-4ba4-b392-d8c1010f336c}">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3085</Words>
  <Characters>3415</Characters>
  <Lines>0</Lines>
  <Paragraphs>0</Paragraphs>
  <TotalTime>10</TotalTime>
  <ScaleCrop>false</ScaleCrop>
  <LinksUpToDate>false</LinksUpToDate>
  <CharactersWithSpaces>3420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苗苗幼儿园王文辉</cp:lastModifiedBy>
  <dcterms:modified xsi:type="dcterms:W3CDTF">2024-09-05T23:58:58Z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F153FEDAF7DE4A7C8648ED29C8EC33F5_13</vt:lpwstr>
  </property>
</Properties>
</file>