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72"/>
          <w:szCs w:val="72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72"/>
          <w:szCs w:val="72"/>
          <w:highlight w:val="none"/>
          <w:lang w:val="en-US" w:eastAsia="zh-CN"/>
        </w:rPr>
        <w:t>东乡族自治县五家乡人民政府</w:t>
      </w:r>
    </w:p>
    <w:p>
      <w:pPr>
        <w:jc w:val="center"/>
        <w:rPr>
          <w:rFonts w:hint="eastAsia" w:ascii="方正小标宋简体" w:eastAsia="方正小标宋简体"/>
          <w:sz w:val="56"/>
          <w:szCs w:val="56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56"/>
          <w:szCs w:val="56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56"/>
          <w:szCs w:val="56"/>
          <w:highlight w:val="none"/>
          <w:lang w:val="en-US" w:eastAsia="zh-CN"/>
        </w:rPr>
      </w:pPr>
    </w:p>
    <w:p>
      <w:pPr>
        <w:jc w:val="both"/>
        <w:rPr>
          <w:rFonts w:hint="eastAsia" w:ascii="方正小标宋简体" w:eastAsia="方正小标宋简体"/>
          <w:sz w:val="56"/>
          <w:szCs w:val="56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（202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年）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单位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预算公开情况说明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  <w:sectPr>
          <w:footerReference r:id="rId3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 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目  录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30" w:lineRule="exact"/>
        <w:jc w:val="center"/>
        <w:rPr>
          <w:rFonts w:ascii="黑体" w:eastAsia="黑体"/>
          <w:color w:val="000000"/>
          <w:sz w:val="18"/>
          <w:szCs w:val="18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 xml:space="preserve">第一部分 </w:t>
      </w:r>
      <w:r>
        <w:rPr>
          <w:rFonts w:hint="eastAsia" w:ascii="仿宋_GB2312" w:hAnsi="仿宋" w:eastAsia="仿宋_GB2312"/>
          <w:b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基本概况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职责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二、机构设置情况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第二部分 2024年</w:t>
      </w:r>
      <w:r>
        <w:rPr>
          <w:rFonts w:hint="eastAsia" w:ascii="仿宋_GB2312" w:hAnsi="仿宋" w:eastAsia="仿宋_GB2312"/>
          <w:b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预算情况说明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一、收支总体情况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二、一般公共预算情况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三、一般公共预算财政拨款“三公”经费、培训费、会议费等情况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四、一般公共预算财政拨款机关运行经费情况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五、政府采购安排情况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六、国有资产占用情况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七、其他重要事项情况说明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八、预算绩效管理情况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九、名词解释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第三部分 2024年</w:t>
      </w:r>
      <w:r>
        <w:rPr>
          <w:rFonts w:hint="eastAsia" w:ascii="仿宋_GB2312" w:hAnsi="仿宋" w:eastAsia="仿宋_GB2312"/>
          <w:b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预算公开表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收入总体情况表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支出总体情况表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四、财政拨款收支总体情况表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五、财政拨款支出表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六、一般公共预算支出情况表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七、一般公共预算基本支出情况表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</w:t>
      </w:r>
      <w:r>
        <w:rPr>
          <w:rFonts w:hint="eastAsia" w:ascii="仿宋_GB2312" w:hAnsi="仿宋" w:eastAsia="仿宋_GB2312"/>
          <w:color w:val="000000"/>
          <w:spacing w:val="-20"/>
          <w:sz w:val="30"/>
          <w:szCs w:val="30"/>
        </w:rPr>
        <w:t>一般公共预算财政拨款“三公”经费、会议费、培训费支出情况表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九、一般公共预算财政拨款机关运行经费表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十、政府性基金预算支出情况表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十一、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管理转移支付表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十二、国有资本经营预算支出情况表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十三、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整体支出绩效目标表和项目支出绩效目标表</w:t>
      </w:r>
    </w:p>
    <w:p>
      <w:pPr>
        <w:spacing w:line="660" w:lineRule="exac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62" w:firstLineChars="200"/>
        <w:rPr>
          <w:rFonts w:ascii="仿宋_GB2312" w:hAnsi="仿宋" w:eastAsia="仿宋_GB2312" w:cs="宋体"/>
          <w:b/>
          <w:kern w:val="0"/>
          <w:sz w:val="28"/>
          <w:szCs w:val="28"/>
        </w:rPr>
        <w:sectPr>
          <w:footerReference r:id="rId4" w:type="default"/>
          <w:pgSz w:w="11906" w:h="16838"/>
          <w:pgMar w:top="1134" w:right="1134" w:bottom="1440" w:left="1276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firstLine="643" w:firstLineChars="200"/>
        <w:rPr>
          <w:rFonts w:ascii="仿宋_GB2312" w:hAnsi="黑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前言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按照《中华人民共和国预算法》《中华人民共和国预算法实施条例》以及</w:t>
      </w:r>
      <w:r>
        <w:rPr>
          <w:rFonts w:ascii="仿宋_GB2312" w:hAnsi="仿宋" w:eastAsia="仿宋_GB2312" w:cs="宋体"/>
          <w:kern w:val="0"/>
          <w:sz w:val="32"/>
          <w:szCs w:val="32"/>
        </w:rPr>
        <w:t>财政部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《地方预决算公开操作规程》《关于推进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所属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预算公开的指导意见》和《中共甘肃省委办公厅 甘肃省人民政府办公厅关于进一步推进预算公开工作的实施方案》要求，现将2024年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预算公开如下：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 w:val="0"/>
          <w:bCs w:val="0"/>
          <w:color w:val="000000"/>
          <w:sz w:val="34"/>
          <w:szCs w:val="3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宋体"/>
          <w:kern w:val="0"/>
          <w:sz w:val="32"/>
          <w:szCs w:val="32"/>
        </w:rPr>
        <w:t>职责</w:t>
      </w:r>
    </w:p>
    <w:p>
      <w:pPr>
        <w:spacing w:line="600" w:lineRule="exact"/>
        <w:ind w:firstLine="680" w:firstLineChars="200"/>
        <w:rPr>
          <w:rFonts w:ascii="仿宋" w:hAnsi="仿宋" w:eastAsia="仿宋" w:cs="仿宋"/>
          <w:b w:val="0"/>
          <w:bCs w:val="0"/>
          <w:color w:val="000000"/>
          <w:sz w:val="34"/>
          <w:szCs w:val="34"/>
        </w:rPr>
      </w:pPr>
      <w:r>
        <w:rPr>
          <w:rFonts w:ascii="仿宋" w:hAnsi="仿宋" w:eastAsia="仿宋" w:cs="仿宋"/>
          <w:b w:val="0"/>
          <w:bCs w:val="0"/>
          <w:color w:val="000000"/>
          <w:sz w:val="34"/>
          <w:szCs w:val="34"/>
        </w:rPr>
        <w:t>1、促进经济发展、增加农民收入。认真贯彻党在农村的各项方针政策，切 实落实国家强农惠农政策措施。结合当地实际和做好乡村发展规划，推动产业结构调整，转变 经济发展方式。稳定和完善农村基本经营制度，支持农民专业合作经济组织发展，健全农村市 场和农业服务体系。保护基本农田，推广农业先进事业技术，抓好粮食生产。发展培育特色优 势产业和特色经济，扶持龙头企业发展壮大，促进现代农业发展。</w:t>
      </w:r>
    </w:p>
    <w:p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仿宋" w:hAnsi="仿宋" w:eastAsia="仿宋" w:cs="仿宋"/>
          <w:b w:val="0"/>
          <w:bCs w:val="0"/>
          <w:color w:val="000000"/>
          <w:sz w:val="34"/>
          <w:szCs w:val="34"/>
        </w:rPr>
      </w:pPr>
      <w:r>
        <w:rPr>
          <w:rFonts w:ascii="仿宋" w:hAnsi="仿宋" w:eastAsia="仿宋" w:cs="仿宋"/>
          <w:b w:val="0"/>
          <w:bCs w:val="0"/>
          <w:color w:val="000000"/>
          <w:sz w:val="34"/>
          <w:szCs w:val="34"/>
        </w:rPr>
        <w:t xml:space="preserve"> 2、强化公共服务，着力改善民生。加快新型农村公共服务体系建设，着力解决群众生产生活中 的突出问题。建立健全农村社会保障体系，完善农村最低生活保障制度。加强农村精神文明建 设，繁荣发展农村文化。提高农村人口素质，稳定农村低生育水平。加强生态建设和</w:t>
      </w:r>
      <w:bookmarkStart w:id="0" w:name="_GoBack"/>
      <w:bookmarkEnd w:id="0"/>
      <w:r>
        <w:rPr>
          <w:rFonts w:ascii="仿宋" w:hAnsi="仿宋" w:eastAsia="仿宋" w:cs="仿宋"/>
          <w:b w:val="0"/>
          <w:bCs w:val="0"/>
          <w:color w:val="000000"/>
          <w:sz w:val="34"/>
          <w:szCs w:val="34"/>
        </w:rPr>
        <w:t>环境</w:t>
      </w:r>
      <w:r>
        <w:rPr>
          <w:rFonts w:hint="eastAsia" w:ascii="仿宋" w:hAnsi="仿宋" w:eastAsia="仿宋" w:cs="仿宋"/>
          <w:b w:val="0"/>
          <w:bCs w:val="0"/>
          <w:color w:val="000000"/>
          <w:sz w:val="34"/>
          <w:szCs w:val="34"/>
          <w:lang w:eastAsia="zh-CN"/>
        </w:rPr>
        <w:t>保护</w:t>
      </w:r>
      <w:r>
        <w:rPr>
          <w:rFonts w:ascii="仿宋" w:hAnsi="仿宋" w:eastAsia="仿宋" w:cs="仿宋"/>
          <w:b w:val="0"/>
          <w:bCs w:val="0"/>
          <w:color w:val="000000"/>
          <w:sz w:val="34"/>
          <w:szCs w:val="34"/>
        </w:rPr>
        <w:t>，做好防灾减灾工作。做好新农村建设的规划和实施，不断改善农村人畜饮水道路等基础设施 。</w:t>
      </w:r>
    </w:p>
    <w:p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仿宋" w:hAnsi="仿宋" w:eastAsia="仿宋" w:cs="仿宋"/>
          <w:b w:val="0"/>
          <w:bCs w:val="0"/>
          <w:color w:val="000000"/>
          <w:sz w:val="34"/>
          <w:szCs w:val="34"/>
        </w:rPr>
      </w:pPr>
      <w:r>
        <w:rPr>
          <w:rFonts w:ascii="仿宋" w:hAnsi="仿宋" w:eastAsia="仿宋" w:cs="仿宋"/>
          <w:b w:val="0"/>
          <w:bCs w:val="0"/>
          <w:color w:val="000000"/>
          <w:sz w:val="34"/>
          <w:szCs w:val="34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4"/>
          <w:szCs w:val="34"/>
          <w:lang w:val="en-US" w:eastAsia="zh-CN"/>
        </w:rPr>
        <w:t>3、</w:t>
      </w:r>
      <w:r>
        <w:rPr>
          <w:rFonts w:ascii="仿宋" w:hAnsi="仿宋" w:eastAsia="仿宋" w:cs="仿宋"/>
          <w:b w:val="0"/>
          <w:bCs w:val="0"/>
          <w:color w:val="000000"/>
          <w:sz w:val="34"/>
          <w:szCs w:val="34"/>
        </w:rPr>
        <w:t>加强社会管理，维护农村稳定。强化农村社会治安综合治理，加强乡镇信访和人民调解工作 ，维护农村社会公共秩序，确保农村社会稳定。协同相关</w:t>
      </w:r>
      <w:r>
        <w:rPr>
          <w:rFonts w:hint="eastAsia" w:ascii="仿宋" w:hAnsi="仿宋" w:eastAsia="仿宋" w:cs="仿宋"/>
          <w:b w:val="0"/>
          <w:bCs w:val="0"/>
          <w:color w:val="000000"/>
          <w:sz w:val="34"/>
          <w:szCs w:val="34"/>
          <w:lang w:eastAsia="zh-CN"/>
        </w:rPr>
        <w:t>单位</w:t>
      </w:r>
      <w:r>
        <w:rPr>
          <w:rFonts w:ascii="仿宋" w:hAnsi="仿宋" w:eastAsia="仿宋" w:cs="仿宋"/>
          <w:b w:val="0"/>
          <w:bCs w:val="0"/>
          <w:color w:val="000000"/>
          <w:sz w:val="34"/>
          <w:szCs w:val="34"/>
        </w:rPr>
        <w:t>搞好农村市场监管，维护市场秩 序。推进依法行政，严格依法履行职责，健全维护农民权益机制，保障农民合法权益，维护农民社会公平正义。</w:t>
      </w:r>
    </w:p>
    <w:p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仿宋" w:hAnsi="仿宋" w:eastAsia="仿宋" w:cs="仿宋"/>
          <w:b w:val="0"/>
          <w:bCs w:val="0"/>
          <w:color w:val="000000"/>
          <w:sz w:val="34"/>
          <w:szCs w:val="34"/>
        </w:rPr>
      </w:pPr>
      <w:r>
        <w:rPr>
          <w:rFonts w:ascii="仿宋" w:hAnsi="仿宋" w:eastAsia="仿宋" w:cs="仿宋"/>
          <w:b w:val="0"/>
          <w:bCs w:val="0"/>
          <w:color w:val="000000"/>
          <w:sz w:val="34"/>
          <w:szCs w:val="34"/>
        </w:rPr>
        <w:t xml:space="preserve"> 4、推进基层民主，促进农村和谐。加强农村党的基层组织建设，指导村民自治，引导农民有序参与村级事务管理，推动农村社区建设，促进社会组织健康发展，增强农村社会自治功能。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二、机构设置情况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（一）机关内设机构</w:t>
      </w:r>
    </w:p>
    <w:p>
      <w:pPr>
        <w:spacing w:line="600" w:lineRule="exact"/>
        <w:ind w:firstLine="680" w:firstLineChars="200"/>
        <w:rPr>
          <w:rFonts w:ascii="仿宋" w:hAnsi="仿宋" w:eastAsia="仿宋" w:cs="仿宋"/>
          <w:b w:val="0"/>
          <w:bCs w:val="0"/>
          <w:color w:val="000000"/>
          <w:sz w:val="34"/>
          <w:szCs w:val="34"/>
        </w:rPr>
      </w:pPr>
      <w:r>
        <w:rPr>
          <w:rFonts w:ascii="仿宋" w:hAnsi="仿宋" w:eastAsia="仿宋" w:cs="仿宋"/>
          <w:b w:val="0"/>
          <w:bCs w:val="0"/>
          <w:color w:val="000000"/>
          <w:sz w:val="34"/>
          <w:szCs w:val="34"/>
        </w:rPr>
        <w:t>单位内设党政综合办公室、经济社会发展办公室、人口和计划生育办公室、社会治安综合治理办公室（挂人民武装部牌子）、农业服务中心、农经财政服务中心、社会事务服务中心、文化服务中心、计划生育服务中心、扶贫工作站等内设机构。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（二）参照公务员法管理单位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无。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（三）直属事业单位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 w:val="0"/>
          <w:bCs w:val="0"/>
          <w:color w:val="000000"/>
          <w:sz w:val="34"/>
          <w:szCs w:val="34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无。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宋体"/>
          <w:kern w:val="0"/>
          <w:sz w:val="32"/>
          <w:szCs w:val="32"/>
        </w:rPr>
        <w:t>收支总体情况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按照预算管理有关规定，2024年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收支包括机关预算和直属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预算在内的汇总情况。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2024年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收支总预算955.83万元。按照综合预算的原则，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所有收入和支出均纳入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预算管理。收入包括：一般公共预算拨款收入；支出包括：一般公共服务支出、社会保障和就业支出、卫生健康支出、</w:t>
      </w:r>
      <w:r>
        <w:rPr>
          <w:rStyle w:val="21"/>
          <w:rFonts w:hint="eastAsia" w:hAnsi="仿宋" w:eastAsia="仿宋_GB2312"/>
          <w:lang w:val="en-US" w:eastAsia="zh-CN"/>
        </w:rPr>
        <w:t>农林水支出、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住房保障支出。</w:t>
      </w:r>
    </w:p>
    <w:p>
      <w:pPr>
        <w:spacing w:line="600" w:lineRule="exact"/>
        <w:ind w:firstLine="643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（一）收入预算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2024年收入预算955.83万元。包括：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一般公共预算收入955.83万元，占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（二）支出预算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contextualSpacing/>
        <w:jc w:val="left"/>
        <w:textAlignment w:val="auto"/>
        <w:rPr>
          <w:rStyle w:val="21"/>
          <w:rFonts w:hint="default" w:hAnsi="仿宋"/>
        </w:rPr>
      </w:pPr>
      <w:r>
        <w:rPr>
          <w:rFonts w:hint="eastAsia" w:ascii="仿宋_GB2312" w:hAnsi="仿宋" w:eastAsia="仿宋_GB2312"/>
          <w:sz w:val="32"/>
          <w:szCs w:val="32"/>
        </w:rPr>
        <w:t>2024年支出预算955.83万元。</w:t>
      </w:r>
      <w:r>
        <w:rPr>
          <w:rStyle w:val="21"/>
          <w:rFonts w:hint="default" w:hAnsi="仿宋"/>
        </w:rPr>
        <w:t>其中：基本支出</w:t>
      </w:r>
      <w:r>
        <w:rPr>
          <w:rStyle w:val="22"/>
          <w:rFonts w:hint="eastAsia" w:ascii="仿宋_GB2312" w:hAnsi="仿宋" w:eastAsia="仿宋_GB2312"/>
        </w:rPr>
        <w:t>694.83</w:t>
      </w:r>
      <w:r>
        <w:rPr>
          <w:rStyle w:val="21"/>
          <w:rFonts w:hint="default" w:hAnsi="仿宋"/>
        </w:rPr>
        <w:t>万元</w:t>
      </w:r>
      <w:r>
        <w:rPr>
          <w:rStyle w:val="21"/>
          <w:rFonts w:hint="eastAsia" w:hAnsi="仿宋" w:eastAsia="仿宋_GB2312"/>
          <w:lang w:eastAsia="zh-CN"/>
        </w:rPr>
        <w:t>，</w:t>
      </w:r>
      <w:r>
        <w:rPr>
          <w:rStyle w:val="21"/>
          <w:rFonts w:hint="default" w:hAnsi="仿宋"/>
        </w:rPr>
        <w:t>占</w:t>
      </w:r>
      <w:r>
        <w:rPr>
          <w:rStyle w:val="21"/>
          <w:rFonts w:hint="eastAsia" w:hAnsi="仿宋" w:eastAsia="仿宋_GB2312"/>
          <w:lang w:val="en-US" w:eastAsia="zh-CN"/>
        </w:rPr>
        <w:t>72.7</w:t>
      </w:r>
      <w:r>
        <w:rPr>
          <w:rStyle w:val="22"/>
          <w:rFonts w:hint="eastAsia" w:ascii="仿宋_GB2312" w:hAnsi="仿宋" w:eastAsia="仿宋_GB2312"/>
        </w:rPr>
        <w:t>%</w:t>
      </w:r>
      <w:r>
        <w:rPr>
          <w:rStyle w:val="21"/>
          <w:rFonts w:hint="default" w:hAnsi="仿宋"/>
        </w:rPr>
        <w:t>； 项目支出261万元，占</w:t>
      </w:r>
      <w:r>
        <w:rPr>
          <w:rStyle w:val="22"/>
          <w:rFonts w:hint="eastAsia" w:ascii="仿宋_GB2312" w:hAnsi="仿宋" w:eastAsia="仿宋_GB2312"/>
          <w:lang w:val="en-US" w:eastAsia="zh-CN"/>
        </w:rPr>
        <w:t>27.3</w:t>
      </w:r>
      <w:r>
        <w:rPr>
          <w:rStyle w:val="22"/>
          <w:rFonts w:hint="eastAsia" w:ascii="仿宋_GB2312" w:hAnsi="仿宋" w:eastAsia="仿宋_GB2312"/>
        </w:rPr>
        <w:t>%</w:t>
      </w:r>
      <w:r>
        <w:rPr>
          <w:rStyle w:val="21"/>
          <w:rFonts w:hint="default" w:hAnsi="仿宋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四、一般公共预算情况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Style w:val="22"/>
          <w:rFonts w:hint="eastAsia" w:ascii="仿宋_GB2312" w:hAnsi="仿宋" w:eastAsia="仿宋_GB2312"/>
        </w:rPr>
        <w:t xml:space="preserve">2024 </w:t>
      </w:r>
      <w:r>
        <w:rPr>
          <w:rStyle w:val="21"/>
          <w:rFonts w:hint="default" w:hAnsi="仿宋"/>
        </w:rPr>
        <w:t>年一般公共预算当年支出</w:t>
      </w:r>
      <w:r>
        <w:rPr>
          <w:rStyle w:val="22"/>
          <w:rFonts w:hint="eastAsia" w:ascii="仿宋_GB2312" w:hAnsi="仿宋" w:eastAsia="仿宋_GB2312"/>
        </w:rPr>
        <w:t>955.83</w:t>
      </w:r>
      <w:r>
        <w:rPr>
          <w:rStyle w:val="21"/>
          <w:rFonts w:hint="default" w:hAnsi="仿宋"/>
        </w:rPr>
        <w:t>万元，包括：一般公共服务支出</w:t>
      </w:r>
      <w:r>
        <w:rPr>
          <w:rStyle w:val="22"/>
          <w:rFonts w:hint="eastAsia" w:ascii="仿宋_GB2312" w:hAnsi="仿宋" w:eastAsia="仿宋_GB2312"/>
        </w:rPr>
        <w:t>553.12</w:t>
      </w:r>
      <w:r>
        <w:rPr>
          <w:rStyle w:val="21"/>
          <w:rFonts w:hint="default" w:hAnsi="仿宋"/>
        </w:rPr>
        <w:t>万元、社会保障和就业支出</w:t>
      </w:r>
      <w:r>
        <w:rPr>
          <w:rStyle w:val="22"/>
          <w:rFonts w:hint="eastAsia" w:ascii="仿宋_GB2312" w:hAnsi="仿宋" w:eastAsia="仿宋_GB2312"/>
        </w:rPr>
        <w:t>62.7</w:t>
      </w:r>
      <w:r>
        <w:rPr>
          <w:rStyle w:val="22"/>
          <w:rFonts w:hint="eastAsia" w:ascii="仿宋_GB2312" w:hAnsi="仿宋" w:eastAsia="仿宋_GB2312"/>
          <w:lang w:val="en-US" w:eastAsia="zh-CN"/>
        </w:rPr>
        <w:t>6</w:t>
      </w:r>
      <w:r>
        <w:rPr>
          <w:rStyle w:val="21"/>
          <w:rFonts w:hint="default" w:hAnsi="仿宋"/>
        </w:rPr>
        <w:t>万元、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卫生健康支出</w:t>
      </w:r>
      <w:r>
        <w:rPr>
          <w:rStyle w:val="21"/>
          <w:rFonts w:hint="default" w:hAnsi="仿宋"/>
        </w:rPr>
        <w:t>33.4</w:t>
      </w:r>
      <w:r>
        <w:rPr>
          <w:rStyle w:val="21"/>
          <w:rFonts w:hint="eastAsia" w:hAnsi="仿宋" w:eastAsia="仿宋_GB2312"/>
          <w:lang w:val="en-US" w:eastAsia="zh-CN"/>
        </w:rPr>
        <w:t>7万元、农林水支出260万元、住房保障支出46.49万元</w:t>
      </w:r>
      <w:r>
        <w:rPr>
          <w:rStyle w:val="21"/>
          <w:rFonts w:hint="default" w:hAnsi="仿宋"/>
        </w:rPr>
        <w:t>。</w:t>
      </w:r>
    </w:p>
    <w:p>
      <w:pPr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（一）基本支出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2024年基本支出694.83万元，比2023年预算增加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123.26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21.57</w:t>
      </w:r>
      <w:r>
        <w:rPr>
          <w:rFonts w:hint="eastAsia" w:ascii="仿宋_GB2312" w:hAnsi="仿宋" w:eastAsia="仿宋_GB2312"/>
          <w:sz w:val="32"/>
          <w:szCs w:val="32"/>
        </w:rPr>
        <w:t>%，增长的主要原因是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人员变化，经费增加。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其中：人员经费支出610.14万元，主要包括：基本工资、津贴补贴、奖金、机关事业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基本养老保险缴费、职工基本医疗保险缴费、公务员医疗补助缴费、其他社会保障缴费、住房公积金、其他工资福利支出等。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公用经费支出84.6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万元，主要包括：办公费、电费、邮电费、取暖费、委托业务费、工会经费、福利费、其他交通费用等。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（二）项目支出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sz w:val="32"/>
          <w:szCs w:val="32"/>
        </w:rPr>
        <w:t>2024年一般公共预算财政拨款项目支出预算261万元，比2023年预算减少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" w:eastAsia="仿宋_GB2312"/>
          <w:sz w:val="32"/>
          <w:szCs w:val="32"/>
        </w:rPr>
        <w:t>万元，减少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25.64</w:t>
      </w:r>
      <w:r>
        <w:rPr>
          <w:rFonts w:hint="eastAsia" w:ascii="仿宋_GB2312" w:hAnsi="仿宋" w:eastAsia="仿宋_GB2312"/>
          <w:sz w:val="32"/>
          <w:szCs w:val="32"/>
        </w:rPr>
        <w:t>%，减少的主要原因是一般公共服务支出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减少。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（三）支出功能分类说明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NewRomanPS-BoldMT" w:eastAsia="仿宋_GB2312"/>
          <w:bCs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一般公共服务（ 类） 政府办公厅（室）及相关机构事务（ 款） 行政运行（ 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544.5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比 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2023 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85.97</w:t>
      </w:r>
      <w:r>
        <w:rPr>
          <w:rFonts w:hint="eastAsia" w:ascii="仿宋_GB2312" w:eastAsia="仿宋_GB2312"/>
          <w:color w:val="000000"/>
          <w:sz w:val="32"/>
          <w:szCs w:val="32"/>
        </w:rPr>
        <w:t>万元， 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变化，经费增加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2.一般公共服务（ 类） 群众团体事务（ 款）工会事务（ 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7.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比 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2023 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1.57</w:t>
      </w:r>
      <w:r>
        <w:rPr>
          <w:rFonts w:hint="eastAsia" w:ascii="仿宋_GB2312" w:eastAsia="仿宋_GB2312"/>
          <w:color w:val="000000"/>
          <w:sz w:val="32"/>
          <w:szCs w:val="32"/>
        </w:rPr>
        <w:t>万元， 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变化，经费增加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.一般公共服务（ 类） 人大事务（ 款）行政运行（ 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比 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2023 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万元， 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变化，经费增加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contextualSpacing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.社会保障和就业支出（ 类） 行政事业单位养老支出（ 款）机关事业单位基本养老保险缴费支出（ 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61.98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比 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2023 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12.63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变化，经费增加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contextualSpacing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.社会保障和就业支出（ 类）财政对其他社会保险基金的补助（ 款）财政对工伤保险基金的补助（ 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0.77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比 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2023 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0.16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变化，经费增加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.卫生健康支出（ 类）财政对基本医疗保险基金的补助（ 款）财政对职工基本医疗保险基金的补助（ 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33.47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比 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2023 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13.11</w:t>
      </w:r>
      <w:r>
        <w:rPr>
          <w:rFonts w:hint="eastAsia" w:ascii="仿宋_GB2312" w:eastAsia="仿宋_GB2312"/>
          <w:color w:val="000000"/>
          <w:sz w:val="32"/>
          <w:szCs w:val="32"/>
        </w:rPr>
        <w:t>万元， 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变化，经费增加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.住房保障支出（ 类）住房改革支出（ 款）住房公积金（ 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46.49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比 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2023 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9.82</w:t>
      </w:r>
      <w:r>
        <w:rPr>
          <w:rFonts w:hint="eastAsia" w:ascii="仿宋_GB2312" w:eastAsia="仿宋_GB2312"/>
          <w:color w:val="000000"/>
          <w:sz w:val="32"/>
          <w:szCs w:val="32"/>
        </w:rPr>
        <w:t>万元， 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变化，经费增加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.农林水支出（ 类）农村综合改革（ 款）对村民委员会和村党支部的补助（ 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260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较上年无变化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宋体"/>
          <w:kern w:val="0"/>
          <w:sz w:val="32"/>
          <w:szCs w:val="32"/>
        </w:rPr>
        <w:t>一般公共预算财政拨款“三公”经费、培训费、会议费等情况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（一）“三公”经费情况说明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“三公”经费预算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较上年无变化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>
      <w:pPr>
        <w:spacing w:line="640" w:lineRule="exact"/>
        <w:ind w:firstLine="640" w:firstLineChars="200"/>
        <w:rPr>
          <w:rFonts w:ascii="仿宋_GB2312" w:hAnsi="黑体" w:eastAsia="仿宋_GB2312"/>
          <w:color w:val="FF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</w:rPr>
        <w:t>1.因公出国（境）费用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较上年无变化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2.公务接待费费用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较上年无变化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3.公务用车购置及运行维护费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万元（其中：公务用车购置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万元，公务用车运行维护费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万元），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较上年无变化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（二）培训费预算情况说明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4.培训费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元，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较上年无变化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（三）会议费预算情况说明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5.会议费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元，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较上年无变化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六、一般公共预算财政拨款机关运行经费情况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机关运行经费84.6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万元，较2023年预算增加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6.37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8.13</w:t>
      </w:r>
      <w:r>
        <w:rPr>
          <w:rFonts w:hint="eastAsia" w:ascii="仿宋_GB2312" w:hAnsi="仿宋" w:eastAsia="仿宋_GB2312"/>
          <w:sz w:val="32"/>
          <w:szCs w:val="32"/>
        </w:rPr>
        <w:t>%，增长的主要原因是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本年预算增加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七、政府采购安排情况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政府采购预算总额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>，其中：政府采购货物预算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>，政府采购工程预算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>，政府采购服务预算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面向中小企业预留政府采购项目预算金额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>，小微企业预留政府采购项目预算金额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八、国有资产占用情况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上年末固定资产金额为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451.79</w:t>
      </w:r>
      <w:r>
        <w:rPr>
          <w:rFonts w:hint="eastAsia" w:ascii="仿宋_GB2312" w:hAnsi="仿宋" w:eastAsia="仿宋_GB2312"/>
          <w:sz w:val="32"/>
          <w:szCs w:val="32"/>
        </w:rPr>
        <w:t>万元。其中：办公用房2246.87平方米，价值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420.20</w:t>
      </w:r>
      <w:r>
        <w:rPr>
          <w:rFonts w:hint="eastAsia" w:ascii="仿宋_GB2312" w:hAnsi="仿宋" w:eastAsia="仿宋_GB2312"/>
          <w:sz w:val="32"/>
          <w:szCs w:val="32"/>
        </w:rPr>
        <w:t>万元。预算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共有公务用车8辆，价值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31.59</w:t>
      </w:r>
      <w:r>
        <w:rPr>
          <w:rFonts w:hint="eastAsia" w:ascii="仿宋_GB2312" w:hAnsi="仿宋" w:eastAsia="仿宋_GB2312"/>
          <w:sz w:val="32"/>
          <w:szCs w:val="32"/>
        </w:rPr>
        <w:t>万元。单价20万元以上的设备价值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万元。2024年拟采购固定资产约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九、其他重要事项情况说明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（一）政府性基金预算支出情况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" w:eastAsia="仿宋_GB2312"/>
          <w:sz w:val="32"/>
          <w:szCs w:val="32"/>
        </w:rPr>
        <w:t>未安排政府性基金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" w:eastAsia="仿宋_GB2312"/>
          <w:sz w:val="32"/>
          <w:szCs w:val="32"/>
        </w:rPr>
        <w:t>预算，政府性基金预算支出情况表为空表。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（二）非税收入情况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ascii="仿宋_GB2312" w:hAnsi="仿宋" w:eastAsia="仿宋_GB2312"/>
          <w:sz w:val="32"/>
          <w:szCs w:val="32"/>
        </w:rPr>
        <w:t>无非税收入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（三）重点项目情况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" w:eastAsia="仿宋_GB2312"/>
          <w:sz w:val="32"/>
          <w:szCs w:val="32"/>
        </w:rPr>
        <w:t>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未安排项目支出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仿宋" w:eastAsia="仿宋_GB2312"/>
          <w:sz w:val="32"/>
          <w:szCs w:val="32"/>
        </w:rPr>
        <w:t>，无重点项目说明。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（四）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  <w:lang w:eastAsia="zh-CN"/>
        </w:rPr>
        <w:t>单位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管理转移支付情况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" w:eastAsia="仿宋_GB2312"/>
          <w:sz w:val="32"/>
          <w:szCs w:val="32"/>
        </w:rPr>
        <w:t>未安排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管理转移支付预算，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管理转移支付表为空表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（五）国有资本经营预算支出情况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楷体" w:eastAsia="仿宋_GB2312"/>
          <w:sz w:val="32"/>
          <w:szCs w:val="32"/>
        </w:rPr>
        <w:t>未安排国有资本经营支出预算，国有资本经营预算支出情况表为空表。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十、预算绩效管理情况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（一）2023年预算绩效管理工作情况。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按照《中共中央 国务院关于全面实施预算绩效管理的意见》《中共甘肃省委 甘肃省人民政府关于全面实施预算绩效管理的实施意见》等相关要求，我们将绩效理念和方法融入预算编制、执行、决算和监督全过程认真开展各项工作。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1.绩效目标管理情况。</w:t>
      </w:r>
      <w:r>
        <w:rPr>
          <w:rFonts w:hint="eastAsia" w:ascii="仿宋_GB2312" w:hAnsi="仿宋" w:eastAsia="仿宋_GB2312"/>
          <w:sz w:val="32"/>
          <w:szCs w:val="32"/>
        </w:rPr>
        <w:t>2023年度，按照“谁申请资金，谁设置目标”的原则，纳入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预算管理的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整体支出和项目绩效目标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个，按规定随年度预算一并公开项目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个，公开率为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2.绩效运行监控情况。</w:t>
      </w:r>
      <w:r>
        <w:rPr>
          <w:rFonts w:hint="eastAsia" w:ascii="仿宋_GB2312" w:hAnsi="仿宋" w:eastAsia="仿宋_GB2312"/>
          <w:sz w:val="32"/>
          <w:szCs w:val="32"/>
        </w:rPr>
        <w:t>2023年7月，组织开展1-6月绩效运行监控项目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个，占本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/单位</w:t>
      </w:r>
      <w:r>
        <w:rPr>
          <w:rFonts w:hint="eastAsia" w:ascii="仿宋_GB2312" w:hAnsi="仿宋" w:eastAsia="仿宋_GB2312"/>
          <w:sz w:val="32"/>
          <w:szCs w:val="32"/>
        </w:rPr>
        <w:t>项目的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%。截至7月底，如期完成预算执行和绩效目标指标值的项目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%。开展1-9月绩效运行监控项目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个，占本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（单位）项目的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%。截至10月底，如期完成预算执行和绩效目标指标值的项目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3.绩效自评开展情况。</w:t>
      </w:r>
      <w:r>
        <w:rPr>
          <w:rFonts w:hint="eastAsia" w:ascii="仿宋_GB2312" w:hAnsi="仿宋" w:eastAsia="仿宋_GB2312"/>
          <w:sz w:val="32"/>
          <w:szCs w:val="32"/>
        </w:rPr>
        <w:t>2023年度，组织开展绩效自评项目共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个，其中，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（单位）整体支出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个，项目支出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个，转移支付项目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个，绩效自评覆盖率为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%。绩效自评结果随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决算报送财政和随决算公开情况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2023</w:t>
      </w:r>
      <w:r>
        <w:rPr>
          <w:rFonts w:hint="default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年度我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单位</w:t>
      </w:r>
      <w:r>
        <w:rPr>
          <w:rFonts w:hint="default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绩效目标完成情况较好，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单位</w:t>
      </w:r>
      <w:r>
        <w:rPr>
          <w:rFonts w:hint="default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整体支出绩效评价良好，还有不足，需要完善。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4.绩效结果应用情况。</w:t>
      </w:r>
      <w:r>
        <w:rPr>
          <w:rFonts w:hint="eastAsia" w:ascii="仿宋_GB2312" w:hAnsi="仿宋" w:eastAsia="仿宋_GB2312"/>
          <w:sz w:val="32"/>
          <w:szCs w:val="32"/>
        </w:rPr>
        <w:t>根据2023年度绩效运行监控、绩效自评等情况，当年盘活财政资金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万元，2024年度增加（减少）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预算项目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个，增长率/压减率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%。同时对政策和项目资金管理作出调整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（二）2024年绩效目标编制情况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2024年，纳入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/单位预算绩效目标管理的项目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个。其中，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整体支出绩效目标围绕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管理、履职效果、能力建设三个维度，设置二级指标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个；项目支出绩效目标围绕成本指标、产出指标、效益指标、满意度指标四个维度，设置二级指标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个。各项绩效目标内容指向明确、细化量化、合理可行，符合规定的格式要求。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十一、名词解释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1、财政拨款: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指由一般公共预算、政府性基金预算、国有资本经营预算安排的财政拨款数。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2、一般公共预算: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包括公共财政拨款（补助）资金、专项收入。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3、财政专户管理资金: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包括专户管理行政事业性收费（主要是教育收费）、其他非税收入。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4、其他资金: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包括事业收入、事业经营收入、其他收入等。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5、基本支出: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6、项目支出: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支出预算的组成部分，是各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为完成其特定的行政任务或事业发展目标，在基本支出预算之外编制的年度项目支出计划。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7、“三公”经费: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指因公出国（境）费、公务用车购置及运行维护费和公务接待费。其中，因公出国（境）费反映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公务出国（境）的国际旅费、国外城市间交通费、住宿费、伙食费、培训费、公杂费等支出；公务用车运行维护费反映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按规定保留的公务用车租用费、燃料费、维修费、过路过桥费、保险费、安全奖励费用等支出；公务接待费反映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按规定开支的各类公务接待（含外宾接待）支出。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8、机关运行经费: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为保障行政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（包括实行公务员管理的事业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640" w:lineRule="exact"/>
        <w:ind w:right="960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东乡族自治县五家乡人民政府</w:t>
      </w:r>
    </w:p>
    <w:p>
      <w:pPr>
        <w:adjustRightInd w:val="0"/>
        <w:snapToGrid w:val="0"/>
        <w:spacing w:line="640" w:lineRule="exact"/>
        <w:ind w:right="1120"/>
        <w:contextualSpacing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年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月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val="en-US" w:eastAsia="zh-CN"/>
        </w:rPr>
        <w:t>东乡族自治县五家乡人民政府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 xml:space="preserve"> 2024年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预算公开表</w:t>
      </w:r>
    </w:p>
    <w:p>
      <w:pPr>
        <w:adjustRightInd w:val="0"/>
        <w:snapToGrid w:val="0"/>
        <w:spacing w:line="640" w:lineRule="exact"/>
        <w:ind w:left="1796" w:leftChars="767" w:hanging="185" w:hangingChars="58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val="en-US" w:eastAsia="zh-CN"/>
        </w:rPr>
        <w:t>东乡族自治县五家乡人民政府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2024年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整体支出绩效目标及预算项目绩效目标表</w:t>
      </w:r>
    </w:p>
    <w:p>
      <w:pPr>
        <w:tabs>
          <w:tab w:val="left" w:pos="1848"/>
        </w:tabs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AFDEE9-A945-4B6E-865D-473A0AFC7B2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E55FB95-712B-444B-8D5C-BE8EF326511E}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46D5DB71-5431-4F77-96E6-BA5D0CCBE12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4190A1C-FB33-492D-9A26-05FF304A5F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8082305-7595-42D3-9695-CE43269AE4A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31FE3708-E9A8-4157-A151-FBB4FEE2744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EC0E0E8-B098-4621-8B56-7B4FB9F5AC15}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8" w:fontKey="{134D45EC-37E7-45D0-B80D-90E49CE5F5EF}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9" w:fontKey="{5A607DC6-F6D9-4201-A870-3F777F68E5B8}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10" w:fontKey="{A75A9BCB-CEDD-4143-BFDC-BA63C78973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ZGFkNWE2MDdjMDEwNjBjY2MzODQwODYyMmRkNzU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EAC0D14"/>
    <w:rsid w:val="113741D2"/>
    <w:rsid w:val="1D34261E"/>
    <w:rsid w:val="1E797ACA"/>
    <w:rsid w:val="25F91AB7"/>
    <w:rsid w:val="380969AB"/>
    <w:rsid w:val="51201212"/>
    <w:rsid w:val="527E074E"/>
    <w:rsid w:val="579503FF"/>
    <w:rsid w:val="60535296"/>
    <w:rsid w:val="6DE825E0"/>
    <w:rsid w:val="72FD2525"/>
    <w:rsid w:val="76722B61"/>
    <w:rsid w:val="76D41791"/>
    <w:rsid w:val="79D36A4D"/>
    <w:rsid w:val="7EE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autoRedefine/>
    <w:qFormat/>
    <w:uiPriority w:val="0"/>
    <w:pPr>
      <w:jc w:val="left"/>
    </w:pPr>
  </w:style>
  <w:style w:type="paragraph" w:styleId="4">
    <w:name w:val="Body Text Indent 2"/>
    <w:basedOn w:val="1"/>
    <w:next w:val="1"/>
    <w:autoRedefine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autoRedefine/>
    <w:qFormat/>
    <w:uiPriority w:val="0"/>
    <w:rPr>
      <w:b/>
      <w:bCs/>
    </w:rPr>
  </w:style>
  <w:style w:type="character" w:styleId="11">
    <w:name w:val="line number"/>
    <w:autoRedefine/>
    <w:qFormat/>
    <w:uiPriority w:val="0"/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character" w:customStyle="1" w:styleId="13">
    <w:name w:val="页脚 Char"/>
    <w:link w:val="6"/>
    <w:autoRedefine/>
    <w:qFormat/>
    <w:uiPriority w:val="0"/>
    <w:rPr>
      <w:sz w:val="18"/>
      <w:szCs w:val="18"/>
    </w:rPr>
  </w:style>
  <w:style w:type="character" w:customStyle="1" w:styleId="14">
    <w:name w:val="页眉 Char"/>
    <w:link w:val="7"/>
    <w:autoRedefine/>
    <w:qFormat/>
    <w:uiPriority w:val="0"/>
    <w:rPr>
      <w:sz w:val="18"/>
      <w:szCs w:val="18"/>
    </w:rPr>
  </w:style>
  <w:style w:type="paragraph" w:styleId="15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6">
    <w:name w:val="批注框文本 Char"/>
    <w:link w:val="5"/>
    <w:autoRedefine/>
    <w:qFormat/>
    <w:uiPriority w:val="0"/>
    <w:rPr>
      <w:kern w:val="2"/>
      <w:sz w:val="18"/>
      <w:szCs w:val="18"/>
    </w:rPr>
  </w:style>
  <w:style w:type="character" w:customStyle="1" w:styleId="17">
    <w:name w:val="标题 1 Char"/>
    <w:link w:val="2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8">
    <w:name w:val="TOC Heading"/>
    <w:basedOn w:val="2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9">
    <w:name w:val="批注文字 Char"/>
    <w:link w:val="3"/>
    <w:autoRedefine/>
    <w:qFormat/>
    <w:uiPriority w:val="0"/>
    <w:rPr>
      <w:kern w:val="2"/>
      <w:sz w:val="21"/>
      <w:szCs w:val="22"/>
    </w:rPr>
  </w:style>
  <w:style w:type="character" w:customStyle="1" w:styleId="20">
    <w:name w:val="批注主题 Char"/>
    <w:link w:val="8"/>
    <w:autoRedefine/>
    <w:qFormat/>
    <w:uiPriority w:val="0"/>
    <w:rPr>
      <w:b/>
      <w:bCs/>
      <w:kern w:val="2"/>
      <w:sz w:val="21"/>
      <w:szCs w:val="22"/>
    </w:rPr>
  </w:style>
  <w:style w:type="character" w:customStyle="1" w:styleId="21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2">
    <w:name w:val="fontstyle2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3">
    <w:name w:val="fontstyle1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4">
    <w:name w:val="fontstyle3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12</Pages>
  <Words>4447</Words>
  <Characters>4793</Characters>
  <Lines>68</Lines>
  <Paragraphs>19</Paragraphs>
  <TotalTime>6</TotalTime>
  <ScaleCrop>false</ScaleCrop>
  <LinksUpToDate>false</LinksUpToDate>
  <CharactersWithSpaces>4879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强颜欢笑</cp:lastModifiedBy>
  <cp:lastPrinted>2022-02-15T07:45:00Z</cp:lastPrinted>
  <dcterms:modified xsi:type="dcterms:W3CDTF">2024-05-29T02:21:50Z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4746AA2B63644A919A7677ADD6665D0C</vt:lpwstr>
  </property>
</Properties>
</file>