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东乡族自治县农业农村局（汇总）部门决算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640" w:firstLineChars="200"/>
        <w:jc w:val="lef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农业农村局主要统筹推动全县发展农村社会事业、农村公共服务、农村文化、农村基础设施、乡村治理、畜牧发展、农技产品质量监督、农技服务体系建设和农村能源建设。牵头组织改善农村人居环境。指导农村精神文明和优秀农耕文化建设，指导农业行业安全生产</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line="600" w:lineRule="exact"/>
        <w:ind w:firstLine="321" w:firstLineChars="1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（一）机关内设机构</w:t>
      </w:r>
    </w:p>
    <w:p>
      <w:pPr>
        <w:spacing w:line="600" w:lineRule="exact"/>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东乡族自治县农业农村局内设办公室（执法队）、农村改革与经营管理股、种植业管理股、农田建设及农机管理股、新农村建设管理股、畜牧发展中心、农机服务中心和能源服务中心等8个职能股室（中心）。县农业农村局核定公务员编制11名，事业编制305名。</w:t>
      </w:r>
    </w:p>
    <w:p>
      <w:pPr>
        <w:spacing w:line="600" w:lineRule="exact"/>
        <w:ind w:firstLine="321" w:firstLineChars="1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（二）参照公务员法管理单位</w:t>
      </w:r>
    </w:p>
    <w:p>
      <w:pPr>
        <w:spacing w:line="600" w:lineRule="exact"/>
        <w:ind w:firstLine="320" w:firstLineChars="1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无。</w:t>
      </w:r>
    </w:p>
    <w:p>
      <w:pPr>
        <w:spacing w:line="600" w:lineRule="exact"/>
        <w:ind w:firstLine="321" w:firstLineChars="100"/>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（三）直属事业单位</w:t>
      </w:r>
    </w:p>
    <w:p>
      <w:pPr>
        <w:spacing w:line="600" w:lineRule="exact"/>
        <w:ind w:firstLine="640" w:firstLineChars="200"/>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eastAsia="zh-CN"/>
        </w:rPr>
        <w:t>无。</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r>
        <w:rPr>
          <w:rFonts w:hint="eastAsia" w:ascii="宋体" w:hAnsi="宋体"/>
          <w:color w:val="FF0000"/>
          <w:sz w:val="24"/>
          <w:szCs w:val="24"/>
          <w:lang w:val="zh-CN"/>
        </w:rPr>
        <w:t>)</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pPr>
        <w:pStyle w:val="2"/>
        <w:numPr>
          <w:numId w:val="0"/>
        </w:numPr>
        <w:rPr>
          <w:rFonts w:hint="eastAsia"/>
          <w:lang w:val="zh-CN"/>
        </w:rPr>
      </w:pPr>
      <w:r>
        <w:rPr>
          <w:rFonts w:hint="eastAsia"/>
          <w:lang w:val="zh-CN"/>
        </w:rPr>
        <w:drawing>
          <wp:inline distT="0" distB="0" distL="114300" distR="114300">
            <wp:extent cx="5479415" cy="3946525"/>
            <wp:effectExtent l="0" t="0" r="6985" b="15875"/>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4"/>
                    <a:stretch>
                      <a:fillRect/>
                    </a:stretch>
                  </pic:blipFill>
                  <pic:spPr>
                    <a:xfrm>
                      <a:off x="0" y="0"/>
                      <a:ext cx="5479415" cy="394652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pPr>
        <w:pStyle w:val="2"/>
        <w:numPr>
          <w:numId w:val="0"/>
        </w:numPr>
        <w:ind w:leftChars="0"/>
        <w:rPr>
          <w:rFonts w:hint="eastAsia"/>
          <w:lang w:val="zh-CN"/>
        </w:rPr>
      </w:pPr>
      <w:r>
        <w:rPr>
          <w:rFonts w:hint="eastAsia"/>
          <w:lang w:val="zh-CN"/>
        </w:rPr>
        <w:drawing>
          <wp:inline distT="0" distB="0" distL="114300" distR="114300">
            <wp:extent cx="5483860" cy="3524250"/>
            <wp:effectExtent l="0" t="0" r="2540" b="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5"/>
                    <a:stretch>
                      <a:fillRect/>
                    </a:stretch>
                  </pic:blipFill>
                  <pic:spPr>
                    <a:xfrm>
                      <a:off x="0" y="0"/>
                      <a:ext cx="5483860" cy="352425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pPr>
        <w:pStyle w:val="2"/>
        <w:numPr>
          <w:numId w:val="0"/>
        </w:numPr>
        <w:ind w:leftChars="0"/>
        <w:rPr>
          <w:rFonts w:hint="eastAsia"/>
          <w:lang w:val="zh-CN"/>
        </w:rPr>
      </w:pPr>
      <w:r>
        <w:rPr>
          <w:rFonts w:hint="eastAsia"/>
          <w:lang w:val="zh-CN"/>
        </w:rPr>
        <w:drawing>
          <wp:inline distT="0" distB="0" distL="114300" distR="114300">
            <wp:extent cx="5483860" cy="3885565"/>
            <wp:effectExtent l="0" t="0" r="2540" b="635"/>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6"/>
                    <a:stretch>
                      <a:fillRect/>
                    </a:stretch>
                  </pic:blipFill>
                  <pic:spPr>
                    <a:xfrm>
                      <a:off x="0" y="0"/>
                      <a:ext cx="5483860" cy="388556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pPr>
        <w:pStyle w:val="2"/>
        <w:numPr>
          <w:numId w:val="0"/>
        </w:numPr>
        <w:ind w:leftChars="0"/>
        <w:rPr>
          <w:rFonts w:hint="eastAsia"/>
          <w:lang w:val="zh-CN"/>
        </w:rPr>
      </w:pPr>
      <w:r>
        <w:rPr>
          <w:rFonts w:hint="eastAsia"/>
          <w:lang w:val="zh-CN"/>
        </w:rPr>
        <w:drawing>
          <wp:inline distT="0" distB="0" distL="114300" distR="114300">
            <wp:extent cx="5476875" cy="3505200"/>
            <wp:effectExtent l="0" t="0" r="9525" b="0"/>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7"/>
                    <a:stretch>
                      <a:fillRect/>
                    </a:stretch>
                  </pic:blipFill>
                  <pic:spPr>
                    <a:xfrm>
                      <a:off x="0" y="0"/>
                      <a:ext cx="5476875" cy="350520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pPr>
        <w:pStyle w:val="2"/>
        <w:numPr>
          <w:numId w:val="0"/>
        </w:numPr>
        <w:ind w:leftChars="0"/>
        <w:rPr>
          <w:rFonts w:hint="eastAsia"/>
          <w:lang w:val="zh-CN"/>
        </w:rPr>
      </w:pPr>
      <w:r>
        <w:rPr>
          <w:rFonts w:hint="eastAsia"/>
          <w:lang w:val="zh-CN"/>
        </w:rPr>
        <w:drawing>
          <wp:inline distT="0" distB="0" distL="114300" distR="114300">
            <wp:extent cx="5476875" cy="2325370"/>
            <wp:effectExtent l="0" t="0" r="9525" b="17780"/>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8"/>
                    <a:stretch>
                      <a:fillRect/>
                    </a:stretch>
                  </pic:blipFill>
                  <pic:spPr>
                    <a:xfrm>
                      <a:off x="0" y="0"/>
                      <a:ext cx="5476875" cy="232537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pPr>
        <w:pStyle w:val="2"/>
        <w:numPr>
          <w:numId w:val="0"/>
        </w:numPr>
        <w:ind w:leftChars="0"/>
        <w:rPr>
          <w:rFonts w:hint="eastAsia"/>
          <w:lang w:val="zh-CN"/>
        </w:rPr>
      </w:pPr>
      <w:r>
        <w:rPr>
          <w:rFonts w:hint="eastAsia"/>
          <w:lang w:val="zh-CN"/>
        </w:rPr>
        <w:drawing>
          <wp:inline distT="0" distB="0" distL="114300" distR="114300">
            <wp:extent cx="5475605" cy="2833370"/>
            <wp:effectExtent l="0" t="0" r="10795" b="5080"/>
            <wp:docPr id="15" name="图片 1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
                    <pic:cNvPicPr>
                      <a:picLocks noChangeAspect="1"/>
                    </pic:cNvPicPr>
                  </pic:nvPicPr>
                  <pic:blipFill>
                    <a:blip r:embed="rId9"/>
                    <a:stretch>
                      <a:fillRect/>
                    </a:stretch>
                  </pic:blipFill>
                  <pic:spPr>
                    <a:xfrm>
                      <a:off x="0" y="0"/>
                      <a:ext cx="5475605" cy="283337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pStyle w:val="2"/>
        <w:numPr>
          <w:numId w:val="0"/>
        </w:numPr>
        <w:ind w:leftChars="0"/>
        <w:rPr>
          <w:rFonts w:hint="eastAsia"/>
          <w:lang w:val="zh-CN"/>
        </w:rPr>
      </w:pPr>
      <w:r>
        <w:rPr>
          <w:rFonts w:hint="eastAsia"/>
          <w:lang w:val="zh-CN"/>
        </w:rPr>
        <w:drawing>
          <wp:inline distT="0" distB="0" distL="114300" distR="114300">
            <wp:extent cx="5484495" cy="419100"/>
            <wp:effectExtent l="0" t="0" r="1905" b="0"/>
            <wp:docPr id="16" name="图片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
                    <pic:cNvPicPr>
                      <a:picLocks noChangeAspect="1"/>
                    </pic:cNvPicPr>
                  </pic:nvPicPr>
                  <pic:blipFill>
                    <a:blip r:embed="rId10"/>
                    <a:stretch>
                      <a:fillRect/>
                    </a:stretch>
                  </pic:blipFill>
                  <pic:spPr>
                    <a:xfrm>
                      <a:off x="0" y="0"/>
                      <a:ext cx="5484495" cy="419100"/>
                    </a:xfrm>
                    <a:prstGeom prst="rect">
                      <a:avLst/>
                    </a:prstGeom>
                  </pic:spPr>
                </pic:pic>
              </a:graphicData>
            </a:graphic>
          </wp:inline>
        </w:drawing>
      </w:r>
    </w:p>
    <w:p>
      <w:pPr>
        <w:rPr>
          <w:rFonts w:hint="eastAsia"/>
          <w:lang w:val="zh-CN"/>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pPr>
        <w:pStyle w:val="2"/>
        <w:numPr>
          <w:numId w:val="0"/>
        </w:numPr>
        <w:ind w:leftChars="0"/>
        <w:rPr>
          <w:rFonts w:hint="eastAsia"/>
          <w:lang w:val="zh-CN"/>
        </w:rPr>
      </w:pPr>
      <w:r>
        <w:rPr>
          <w:rFonts w:hint="eastAsia"/>
          <w:lang w:val="zh-CN"/>
        </w:rPr>
        <w:drawing>
          <wp:inline distT="0" distB="0" distL="114300" distR="114300">
            <wp:extent cx="5480050" cy="649605"/>
            <wp:effectExtent l="0" t="0" r="6350" b="17145"/>
            <wp:docPr id="17" name="图片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
                    <pic:cNvPicPr>
                      <a:picLocks noChangeAspect="1"/>
                    </pic:cNvPicPr>
                  </pic:nvPicPr>
                  <pic:blipFill>
                    <a:blip r:embed="rId11"/>
                    <a:stretch>
                      <a:fillRect/>
                    </a:stretch>
                  </pic:blipFill>
                  <pic:spPr>
                    <a:xfrm>
                      <a:off x="0" y="0"/>
                      <a:ext cx="5480050" cy="649605"/>
                    </a:xfrm>
                    <a:prstGeom prst="rect">
                      <a:avLst/>
                    </a:prstGeom>
                  </pic:spPr>
                </pic:pic>
              </a:graphicData>
            </a:graphic>
          </wp:inline>
        </w:drawing>
      </w:r>
    </w:p>
    <w:p>
      <w:pPr>
        <w:rPr>
          <w:rFonts w:hint="eastAsia"/>
          <w:lang w:val="zh-CN"/>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left"/>
        <w:rPr>
          <w:rFonts w:hint="eastAsia"/>
          <w:lang w:val="zh-CN"/>
        </w:rPr>
      </w:pPr>
      <w:r>
        <w:rPr>
          <w:rFonts w:hint="eastAsia"/>
          <w:lang w:val="zh-CN"/>
        </w:rPr>
        <w:drawing>
          <wp:inline distT="0" distB="0" distL="114300" distR="114300">
            <wp:extent cx="5480050" cy="649605"/>
            <wp:effectExtent l="0" t="0" r="6350" b="17145"/>
            <wp:docPr id="18" name="图片 1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
                    <pic:cNvPicPr>
                      <a:picLocks noChangeAspect="1"/>
                    </pic:cNvPicPr>
                  </pic:nvPicPr>
                  <pic:blipFill>
                    <a:blip r:embed="rId11"/>
                    <a:stretch>
                      <a:fillRect/>
                    </a:stretch>
                  </pic:blipFill>
                  <pic:spPr>
                    <a:xfrm>
                      <a:off x="0" y="0"/>
                      <a:ext cx="5480050" cy="649605"/>
                    </a:xfrm>
                    <a:prstGeom prst="rect">
                      <a:avLst/>
                    </a:prstGeom>
                  </pic:spPr>
                </pic:pic>
              </a:graphicData>
            </a:graphic>
          </wp:inline>
        </w:drawing>
      </w:r>
    </w:p>
    <w:p>
      <w:pPr>
        <w:rPr>
          <w:rFonts w:hint="eastAsia"/>
          <w:lang w:val="zh-CN"/>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w:t>
      </w:r>
      <w:r>
        <w:rPr>
          <w:rFonts w:hint="eastAsia" w:ascii="宋体" w:hAnsi="宋体"/>
          <w:color w:val="000000" w:themeColor="text1"/>
          <w:sz w:val="24"/>
          <w:szCs w:val="24"/>
          <w:lang w:val="en-US"/>
          <w14:textFill>
            <w14:solidFill>
              <w14:schemeClr w14:val="tx1"/>
            </w14:solidFill>
          </w14:textFill>
        </w:rPr>
        <w:t>为</w:t>
      </w:r>
      <w:r>
        <w:rPr>
          <w:rFonts w:hint="eastAsia" w:ascii="宋体" w:hAnsi="宋体"/>
          <w:color w:val="000000" w:themeColor="text1"/>
          <w:sz w:val="24"/>
          <w:szCs w:val="24"/>
          <w:lang w:val="zh-CN"/>
          <w14:textFill>
            <w14:solidFill>
              <w14:schemeClr w14:val="tx1"/>
            </w14:solidFill>
          </w14:textFill>
        </w:rPr>
        <w:t>41092.18万元。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增加27031.7万元,增长192.25%,主要原因是</w:t>
      </w:r>
      <w:r>
        <w:rPr>
          <w:rFonts w:hint="eastAsia" w:ascii="宋体" w:hAnsi="宋体"/>
          <w:color w:val="000000" w:themeColor="text1"/>
          <w:sz w:val="24"/>
          <w:szCs w:val="24"/>
          <w:lang w:val="en-US" w:eastAsia="zh-CN"/>
          <w14:textFill>
            <w14:solidFill>
              <w14:schemeClr w14:val="tx1"/>
            </w14:solidFill>
          </w14:textFill>
        </w:rPr>
        <w:t>衔接资金指标下达至各项目实施单位。</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2023年度收入合计41092.18万元,其中：财政拨款收入39008.38万元,占94.93%；</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收入2083.81万元,占5.07%；</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2023年度支出合计41092.18万元,其中：基本支出4169.20万元,占10.15%；项目支出36922.98万元,占89.85%；上缴上级支出0.00万元,占0.00%；经营支出0.00万元,占0.00%；对附属单位补助支出0.00万元,占0.00%。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39008.38万元。与</w:t>
      </w:r>
      <w:r>
        <w:rPr>
          <w:rFonts w:hint="eastAsia" w:ascii="宋体" w:hAnsi="宋体"/>
          <w:color w:val="auto"/>
          <w:sz w:val="24"/>
          <w:szCs w:val="24"/>
          <w:lang w:val="en-US"/>
        </w:rPr>
        <w:t>上</w:t>
      </w:r>
      <w:r>
        <w:rPr>
          <w:rFonts w:hint="eastAsia" w:ascii="宋体" w:hAnsi="宋体"/>
          <w:color w:val="auto"/>
          <w:sz w:val="24"/>
          <w:szCs w:val="24"/>
          <w:lang w:val="zh-CN"/>
        </w:rPr>
        <w:t>年相比,各增加25544.32万元,增长189.72%。</w:t>
      </w:r>
      <w:r>
        <w:rPr>
          <w:rFonts w:hint="eastAsia" w:ascii="宋体" w:hAnsi="宋体"/>
          <w:color w:val="auto"/>
          <w:sz w:val="24"/>
          <w:szCs w:val="24"/>
          <w:lang w:val="en-US" w:eastAsia="zh-CN"/>
        </w:rPr>
        <w:t>主要原因是</w:t>
      </w:r>
      <w:r>
        <w:rPr>
          <w:rFonts w:hint="eastAsia" w:ascii="宋体" w:hAnsi="宋体"/>
          <w:color w:val="000000" w:themeColor="text1"/>
          <w:sz w:val="24"/>
          <w:szCs w:val="24"/>
          <w:lang w:val="en-US" w:eastAsia="zh-CN"/>
          <w14:textFill>
            <w14:solidFill>
              <w14:schemeClr w14:val="tx1"/>
            </w14:solidFill>
          </w14:textFill>
        </w:rPr>
        <w:t>衔接资金指标下达至各项目实施单位。</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2023年度一般公共预算财政拨款支出39008.38万元,较上年决算数增加25544.32万元,增长189.72%。</w:t>
      </w:r>
      <w:r>
        <w:rPr>
          <w:rFonts w:hint="eastAsia" w:ascii="宋体" w:hAnsi="宋体"/>
          <w:color w:val="auto"/>
          <w:sz w:val="24"/>
          <w:szCs w:val="24"/>
          <w:lang w:val="en-US" w:eastAsia="zh-CN"/>
        </w:rPr>
        <w:t>主要原因是</w:t>
      </w:r>
      <w:r>
        <w:rPr>
          <w:rFonts w:hint="eastAsia" w:ascii="宋体" w:hAnsi="宋体"/>
          <w:color w:val="000000" w:themeColor="text1"/>
          <w:sz w:val="24"/>
          <w:szCs w:val="24"/>
          <w:lang w:val="en-US" w:eastAsia="zh-CN"/>
          <w14:textFill>
            <w14:solidFill>
              <w14:schemeClr w14:val="tx1"/>
            </w14:solidFill>
          </w14:textFill>
        </w:rPr>
        <w:t>衔接资金指标下达至各项目实施单位。</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39008.38万元，主要用于以下方面：一般公共服务支出34.97万元,占0.09%；外交支出0.00万元,占0.0%；国防支出0.00万元,占0.0%；公共安全支出0.00万元,占0.0%；教育支出0.00万元,占0.0%；科学技术支出2050.25万元，占5.26%；文化旅游体育与传媒支出0.00万元，占0.0%；社会保障和就业支出716.30万元,占1.84%；卫生健康支出125.25万元,占0.32%；节能环保支出540.49万元</w:t>
      </w:r>
      <w:r>
        <w:rPr>
          <w:rFonts w:hint="eastAsia" w:ascii="宋体" w:hAnsi="宋体"/>
          <w:color w:val="auto"/>
          <w:sz w:val="24"/>
          <w:szCs w:val="24"/>
          <w:lang w:val="en-US" w:eastAsia="zh-CN"/>
        </w:rPr>
        <w:t>,</w:t>
      </w:r>
      <w:r>
        <w:rPr>
          <w:rFonts w:hint="eastAsia" w:ascii="宋体" w:hAnsi="宋体"/>
          <w:color w:val="auto"/>
          <w:sz w:val="24"/>
          <w:szCs w:val="24"/>
          <w:lang w:val="zh-CN"/>
        </w:rPr>
        <w:t>占1.39%；城乡社区支出0.00万元,占0.0%；农林水支出35237.03万元,占90.33%；交通运输支出0.00万元,占0.0%；资源勘探工业信息等支出0.00万元，占0.0%；商业服务业等支出0.00万元,占0.0%；金融支出0.00万元,占0.0%；自然资源海洋气象等支出0.00万元,占0.0%；住房保障支出304.08万元,占0.78%；粮油物资储备支出0.00万元,占0.0%；灾害防治及应急管理支出0.00万元,占0.0%；其他支出0.00万元,占0.0%；债务还本支出0.00万元,占0.0%；债务付息支出0.00万元,占0.0%；抗疫特别国债安排的支出0.00万元,占0.0%。</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25714.61万元,支出决算为39008.38万元,完成年初预算的151.7%。其中：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年初预算数为52.38万元,支出决算为34.97万元,完成年初预算的66.76%,决算数小于预算数</w:t>
      </w:r>
      <w:r>
        <w:rPr>
          <w:rFonts w:hint="eastAsia" w:ascii="宋体" w:hAnsi="宋体"/>
          <w:color w:val="000000" w:themeColor="text1"/>
          <w:sz w:val="24"/>
          <w:szCs w:val="24"/>
          <w:lang w:val="zh-CN"/>
          <w14:textFill>
            <w14:solidFill>
              <w14:schemeClr w14:val="tx1"/>
            </w14:solidFill>
          </w14:textFill>
        </w:rPr>
        <w:t>的主要原因是</w:t>
      </w:r>
      <w:r>
        <w:rPr>
          <w:rFonts w:hint="eastAsia" w:ascii="宋体" w:hAnsi="宋体"/>
          <w:color w:val="000000" w:themeColor="text1"/>
          <w:sz w:val="24"/>
          <w:szCs w:val="24"/>
          <w:lang w:val="en-US" w:eastAsia="zh-CN"/>
          <w14:textFill>
            <w14:solidFill>
              <w14:schemeClr w14:val="tx1"/>
            </w14:solidFill>
          </w14:textFill>
        </w:rPr>
        <w:t>工会经费减少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年初预算数为0.00万元,支出决算为2050.25万元,完成年初预算的%,决算数大于预算数的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农业人才培训支出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年初预算数为1367.95万元,支出决算为716.30万元,完成年初预算的52.36%,决算数小于预算数的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社会保险费因国库没钱没能及时拨付。</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年初预算数为177.77万元,支出决算为125.25万元,完成年初预算的70.46%,决算数小于预算数</w:t>
      </w:r>
      <w:r>
        <w:rPr>
          <w:rFonts w:hint="eastAsia" w:ascii="宋体" w:hAnsi="宋体"/>
          <w:color w:val="000000" w:themeColor="text1"/>
          <w:sz w:val="24"/>
          <w:szCs w:val="24"/>
          <w:lang w:val="zh-CN"/>
          <w14:textFill>
            <w14:solidFill>
              <w14:schemeClr w14:val="tx1"/>
            </w14:solidFill>
          </w14:textFill>
        </w:rPr>
        <w:t>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医疗保险费未及时拨付</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10</w:t>
      </w:r>
      <w:r>
        <w:rPr>
          <w:rFonts w:hint="eastAsia" w:ascii="宋体" w:hAnsi="宋体"/>
          <w:b/>
          <w:color w:val="000000" w:themeColor="text1"/>
          <w:sz w:val="24"/>
          <w:szCs w:val="24"/>
          <w:lang w:val="zh-CN"/>
          <w14:textFill>
            <w14:solidFill>
              <w14:schemeClr w14:val="tx1"/>
            </w14:solidFill>
          </w14:textFill>
        </w:rPr>
        <w:t>．节能环保支出</w:t>
      </w:r>
      <w:r>
        <w:rPr>
          <w:rFonts w:hint="eastAsia" w:ascii="宋体" w:hAnsi="宋体"/>
          <w:color w:val="000000" w:themeColor="text1"/>
          <w:sz w:val="24"/>
          <w:szCs w:val="24"/>
          <w:lang w:val="zh-CN"/>
          <w14:textFill>
            <w14:solidFill>
              <w14:schemeClr w14:val="tx1"/>
            </w14:solidFill>
          </w14:textFill>
        </w:rPr>
        <w:t>年初预算数为136.59万元,支出决算为540.49万元,完成年初预算的395.7%,决算数大于预算数的主要原因是</w:t>
      </w:r>
      <w:r>
        <w:rPr>
          <w:rFonts w:hint="eastAsia" w:ascii="宋体" w:hAnsi="宋体"/>
          <w:color w:val="000000" w:themeColor="text1"/>
          <w:sz w:val="24"/>
          <w:szCs w:val="24"/>
          <w:lang w:val="en-US" w:eastAsia="zh-CN"/>
          <w14:textFill>
            <w14:solidFill>
              <w14:schemeClr w14:val="tx1"/>
            </w14:solidFill>
          </w14:textFill>
        </w:rPr>
        <w:t>项目主体实施项目。</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11</w:t>
      </w:r>
      <w:r>
        <w:rPr>
          <w:rFonts w:hint="eastAsia" w:ascii="宋体" w:hAnsi="宋体"/>
          <w:b/>
          <w:color w:val="000000" w:themeColor="text1"/>
          <w:sz w:val="24"/>
          <w:szCs w:val="24"/>
          <w:lang w:val="zh-CN"/>
          <w14:textFill>
            <w14:solidFill>
              <w14:schemeClr w14:val="tx1"/>
            </w14:solidFill>
          </w14:textFill>
        </w:rPr>
        <w:t>．城乡社区支出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12</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年初预算数为23660.90万元,支出决算为35237.03万元,完成年初预算的148.93%,决算数大于预算数的主要原因是</w:t>
      </w:r>
      <w:r>
        <w:rPr>
          <w:rFonts w:hint="eastAsia" w:ascii="宋体" w:hAnsi="宋体"/>
          <w:color w:val="000000" w:themeColor="text1"/>
          <w:sz w:val="24"/>
          <w:szCs w:val="24"/>
          <w:lang w:val="en-US" w:eastAsia="zh-CN"/>
          <w14:textFill>
            <w14:solidFill>
              <w14:schemeClr w14:val="tx1"/>
            </w14:solidFill>
          </w14:textFill>
        </w:rPr>
        <w:t>衔接资金指标下达至各项目实施单位</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w:t>
      </w:r>
      <w:r>
        <w:rPr>
          <w:rFonts w:hint="eastAsia" w:ascii="宋体" w:hAnsi="宋体"/>
          <w:b/>
          <w:color w:val="000000" w:themeColor="text1"/>
          <w:sz w:val="24"/>
          <w:szCs w:val="24"/>
          <w:lang w:val="zh-CN"/>
          <w14:textFill>
            <w14:solidFill>
              <w14:schemeClr w14:val="tx1"/>
            </w14:solidFill>
          </w14:textFill>
        </w:rPr>
        <w:t>海洋气象等支出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Times New Roman" w:hAnsi="Times New Roman" w:eastAsia="宋体"/>
          <w:b/>
          <w:color w:val="000000" w:themeColor="text1"/>
          <w:sz w:val="24"/>
          <w:szCs w:val="24"/>
          <w:lang w:val="en-US" w:eastAsia="zh-CN"/>
          <w14:textFill>
            <w14:solidFill>
              <w14:schemeClr w14:val="tx1"/>
            </w14:solidFill>
          </w14:textFill>
        </w:rPr>
        <w:t>8</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年初预算数为319.01万元,支出决算为304.08万元,完成年初预算的95.32%,决算数小于预算数的主要原因是</w:t>
      </w:r>
      <w:r>
        <w:rPr>
          <w:rFonts w:hint="eastAsia" w:ascii="宋体" w:hAnsi="宋体"/>
          <w:color w:val="000000" w:themeColor="text1"/>
          <w:sz w:val="24"/>
          <w:szCs w:val="24"/>
          <w:lang w:val="en-US" w:eastAsia="zh-CN"/>
          <w14:textFill>
            <w14:solidFill>
              <w14:schemeClr w14:val="tx1"/>
            </w14:solidFill>
          </w14:textFill>
        </w:rPr>
        <w:t>单位人员减少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19</w:t>
      </w:r>
      <w:r>
        <w:rPr>
          <w:rFonts w:hint="eastAsia" w:ascii="宋体" w:hAnsi="宋体"/>
          <w:b/>
          <w:color w:val="000000" w:themeColor="text1"/>
          <w:sz w:val="24"/>
          <w:szCs w:val="24"/>
          <w:lang w:val="zh-CN"/>
          <w14:textFill>
            <w14:solidFill>
              <w14:schemeClr w14:val="tx1"/>
            </w14:solidFill>
          </w14:textFill>
        </w:rPr>
        <w:t>．粮油物资储备支出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Times New Roman" w:hAnsi="Times New Roman"/>
          <w:b/>
          <w:color w:val="000000" w:themeColor="text1"/>
          <w:sz w:val="24"/>
          <w:szCs w:val="24"/>
          <w:lang w:val="en-US" w:eastAsia="zh-CN"/>
          <w14:textFill>
            <w14:solidFill>
              <w14:schemeClr w14:val="tx1"/>
            </w14:solidFill>
          </w14:textFill>
        </w:rPr>
        <w:t>0</w:t>
      </w:r>
      <w:r>
        <w:rPr>
          <w:rFonts w:hint="eastAsia" w:ascii="宋体" w:hAnsi="宋体"/>
          <w:b/>
          <w:color w:val="000000" w:themeColor="text1"/>
          <w:sz w:val="24"/>
          <w:szCs w:val="24"/>
          <w:lang w:val="zh-CN"/>
          <w14:textFill>
            <w14:solidFill>
              <w14:schemeClr w14:val="tx1"/>
            </w14:solidFill>
          </w14:textFill>
        </w:rPr>
        <w:t>．灾害防治及应急管理支出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Times New Roman" w:hAnsi="Times New Roman"/>
          <w:b/>
          <w:color w:val="000000" w:themeColor="text1"/>
          <w:sz w:val="24"/>
          <w:szCs w:val="24"/>
          <w:lang w:val="en-US" w:eastAsia="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．其他支出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Times New Roman" w:hAnsi="Times New Roman"/>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．债务还本支出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w:t>
      </w:r>
      <w:r>
        <w:rPr>
          <w:rFonts w:hint="eastAsia" w:ascii="宋体" w:hAnsi="宋体"/>
          <w:color w:val="000000" w:themeColor="text1"/>
          <w:sz w:val="24"/>
          <w:szCs w:val="24"/>
          <w:lang w:val="zh-CN"/>
          <w14:textFill>
            <w14:solidFill>
              <w14:schemeClr w14:val="tx1"/>
            </w14:solidFill>
          </w14:textFill>
        </w:rPr>
        <w:t>0.0%。</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Times New Roman" w:hAnsi="Times New Roman"/>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．抗疫特别国债安排的支出</w:t>
      </w:r>
      <w:r>
        <w:rPr>
          <w:rFonts w:hint="eastAsia" w:ascii="宋体" w:hAnsi="宋体"/>
          <w:color w:val="000000" w:themeColor="text1"/>
          <w:sz w:val="24"/>
          <w:szCs w:val="24"/>
          <w:lang w:val="zh-CN"/>
          <w14:textFill>
            <w14:solidFill>
              <w14:schemeClr w14:val="tx1"/>
            </w14:solidFill>
          </w14:textFill>
        </w:rPr>
        <w:t>年初预算数为0.00万元,支出决算为0.00万元,完成年初预算的0.0%。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2023年度一般公共预算财政拨款基本支出4169.20万元。其中：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4071.80万元,较上年决算数减少904.21万元,下降18.17%,主要原因是.</w:t>
      </w:r>
      <w:r>
        <w:rPr>
          <w:rFonts w:hint="eastAsia" w:ascii="宋体" w:hAnsi="宋体"/>
          <w:color w:val="000000" w:themeColor="text1"/>
          <w:sz w:val="24"/>
          <w:szCs w:val="24"/>
          <w:lang w:val="en-US" w:eastAsia="zh-CN"/>
          <w14:textFill>
            <w14:solidFill>
              <w14:schemeClr w14:val="tx1"/>
            </w14:solidFill>
          </w14:textFill>
        </w:rPr>
        <w:t>单位干部职工减少</w:t>
      </w:r>
      <w:r>
        <w:rPr>
          <w:rFonts w:hint="eastAsia" w:ascii="宋体" w:hAnsi="宋体"/>
          <w:color w:val="000000" w:themeColor="text1"/>
          <w:sz w:val="24"/>
          <w:szCs w:val="24"/>
          <w:lang w:val="zh-CN"/>
          <w14:textFill>
            <w14:solidFill>
              <w14:schemeClr w14:val="tx1"/>
            </w14:solidFill>
          </w14:textFill>
        </w:rPr>
        <w:t>。人员经费用途主要包括</w:t>
      </w:r>
      <w:r>
        <w:rPr>
          <w:rFonts w:hint="eastAsia" w:ascii="宋体" w:hAnsi="宋体"/>
          <w:color w:val="000000" w:themeColor="text1"/>
          <w:sz w:val="24"/>
          <w:szCs w:val="24"/>
          <w:lang w:val="zh-CN"/>
          <w14:textFill>
            <w14:solidFill>
              <w14:schemeClr w14:val="tx1"/>
            </w14:solidFill>
          </w14:textFill>
        </w:rPr>
        <w:t>基本工资、津贴补贴、奖金、社会保障缴费。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auto"/>
          <w:sz w:val="24"/>
          <w:szCs w:val="24"/>
          <w:lang w:val="zh-CN"/>
        </w:rPr>
        <w:t>公用经费</w:t>
      </w:r>
      <w:r>
        <w:rPr>
          <w:rFonts w:hint="eastAsia" w:ascii="宋体" w:hAnsi="宋体"/>
          <w:color w:val="auto"/>
          <w:sz w:val="24"/>
          <w:szCs w:val="24"/>
          <w:lang w:val="zh-CN"/>
        </w:rPr>
        <w:t>97.40万元,较上年决算数减少265.1万元,下降73.13%</w:t>
      </w:r>
      <w:r>
        <w:rPr>
          <w:rFonts w:hint="eastAsia" w:ascii="宋体" w:hAnsi="宋体"/>
          <w:color w:val="000000" w:themeColor="text1"/>
          <w:sz w:val="24"/>
          <w:szCs w:val="24"/>
          <w:lang w:val="zh-CN"/>
          <w14:textFill>
            <w14:solidFill>
              <w14:schemeClr w14:val="tx1"/>
            </w14:solidFill>
          </w14:textFill>
        </w:rPr>
        <w:t>,主要原因</w:t>
      </w:r>
      <w:r>
        <w:rPr>
          <w:rFonts w:hint="eastAsia" w:ascii="宋体" w:hAnsi="宋体"/>
          <w:color w:val="000000" w:themeColor="text1"/>
          <w:sz w:val="24"/>
          <w:szCs w:val="24"/>
          <w:lang w:val="en-US" w:eastAsia="zh-CN"/>
          <w14:textFill>
            <w14:solidFill>
              <w14:schemeClr w14:val="tx1"/>
            </w14:solidFill>
          </w14:textFill>
        </w:rPr>
        <w:t>经费减少</w:t>
      </w:r>
      <w:r>
        <w:rPr>
          <w:rFonts w:hint="eastAsia" w:ascii="宋体" w:hAnsi="宋体"/>
          <w:color w:val="000000" w:themeColor="text1"/>
          <w:sz w:val="24"/>
          <w:szCs w:val="24"/>
          <w:lang w:val="zh-CN"/>
          <w14:textFill>
            <w14:solidFill>
              <w14:schemeClr w14:val="tx1"/>
            </w14:solidFill>
          </w14:textFill>
        </w:rPr>
        <w:t>。公用经费用途主要包括如办公费、印刷费、咨询费、</w:t>
      </w:r>
      <w:r>
        <w:rPr>
          <w:rFonts w:hint="eastAsia" w:ascii="宋体" w:hAnsi="宋体"/>
          <w:color w:val="000000" w:themeColor="text1"/>
          <w:sz w:val="24"/>
          <w:szCs w:val="24"/>
          <w:lang w:val="en-US" w:eastAsia="zh-CN"/>
          <w14:textFill>
            <w14:solidFill>
              <w14:schemeClr w14:val="tx1"/>
            </w14:solidFill>
          </w14:textFill>
        </w:rPr>
        <w:t>差旅费、劳务费、下乡补助</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pPr>
        <w:spacing w:before="100" w:beforeLines="0" w:after="100" w:afterLines="0"/>
        <w:jc w:val="left"/>
        <w:rPr>
          <w:rFonts w:hint="eastAsia" w:ascii="宋体" w:hAnsi="宋体"/>
          <w:sz w:val="24"/>
          <w:szCs w:val="24"/>
          <w:lang w:val="en-US" w:eastAsia="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bookmarkStart w:id="0" w:name="_GoBack"/>
      <w:bookmarkEnd w:id="0"/>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预算数为5.76万元,支出决算为0.00万元,决算数小于预算数的主要原因是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没有三公支出</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减少1.87</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下降100.0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没有三公支出</w:t>
      </w:r>
      <w:r>
        <w:rPr>
          <w:rFonts w:hint="eastAsia" w:ascii="宋体" w:hAnsi="宋体"/>
          <w:color w:val="000000" w:themeColor="text1"/>
          <w:sz w:val="24"/>
          <w:szCs w:val="24"/>
          <w:lang w:val="zh-CN"/>
          <w14:textFill>
            <w14:solidFill>
              <w14:schemeClr w14:val="tx1"/>
            </w14:solidFill>
          </w14:textFill>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预算数为5.76万元,支出决算为0.00万元</w:t>
      </w:r>
      <w:r>
        <w:rPr>
          <w:rFonts w:hint="eastAsia" w:ascii="宋体" w:hAnsi="宋体"/>
          <w:color w:val="000000" w:themeColor="text1"/>
          <w:sz w:val="24"/>
          <w:szCs w:val="24"/>
          <w:lang w:val="zh-CN"/>
          <w14:textFill>
            <w14:solidFill>
              <w14:schemeClr w14:val="tx1"/>
            </w14:solidFill>
          </w14:textFill>
        </w:rPr>
        <w:t>,决算数小于预算数的主要原因是</w:t>
      </w:r>
      <w:r>
        <w:rPr>
          <w:rFonts w:hint="eastAsia" w:ascii="宋体" w:hAnsi="宋体"/>
          <w:color w:val="000000" w:themeColor="text1"/>
          <w:sz w:val="24"/>
          <w:szCs w:val="24"/>
          <w:lang w:val="en-US" w:eastAsia="zh-CN"/>
          <w14:textFill>
            <w14:solidFill>
              <w14:schemeClr w14:val="tx1"/>
            </w14:solidFill>
          </w14:textFill>
        </w:rPr>
        <w:t>没有三公支出</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减少1.87</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下降100.0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没有三公支出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en-US"/>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预算数为5.76万元,支出决算为0.00万元,决算数小于预算数的主要原因是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没有三公支出，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减少1.87</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下降100.0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没有三公支出</w:t>
      </w:r>
      <w:r>
        <w:rPr>
          <w:rFonts w:hint="eastAsia" w:ascii="宋体" w:hAnsi="宋体"/>
          <w:color w:val="000000" w:themeColor="text1"/>
          <w:sz w:val="24"/>
          <w:szCs w:val="24"/>
          <w:lang w:val="zh-CN"/>
          <w14:textFill>
            <w14:solidFill>
              <w14:schemeClr w14:val="tx1"/>
            </w14:solidFill>
          </w14:textFill>
        </w:rPr>
        <w:t>。</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auto"/>
          <w:sz w:val="24"/>
          <w:szCs w:val="24"/>
          <w:lang w:val="zh-CN"/>
        </w:rPr>
        <w:t>2023年度本部门机关运行经费支出58.96万元</w:t>
      </w:r>
      <w:r>
        <w:rPr>
          <w:rFonts w:hint="eastAsia" w:ascii="宋体" w:hAnsi="宋体"/>
          <w:color w:val="auto"/>
          <w:sz w:val="24"/>
          <w:szCs w:val="24"/>
          <w:lang w:val="zh-CN"/>
        </w:rPr>
        <w:t>,机关运行经费</w:t>
      </w:r>
      <w:r>
        <w:rPr>
          <w:rFonts w:hint="eastAsia" w:ascii="宋体" w:hAnsi="宋体"/>
          <w:color w:val="000000" w:themeColor="text1"/>
          <w:sz w:val="24"/>
          <w:szCs w:val="24"/>
          <w:lang w:val="zh-CN"/>
          <w14:textFill>
            <w14:solidFill>
              <w14:schemeClr w14:val="tx1"/>
            </w14:solidFill>
          </w14:textFill>
        </w:rPr>
        <w:t>主要用于开支办公费、印刷费、咨询费、</w:t>
      </w:r>
      <w:r>
        <w:rPr>
          <w:rFonts w:hint="eastAsia" w:ascii="宋体" w:hAnsi="宋体"/>
          <w:color w:val="000000" w:themeColor="text1"/>
          <w:sz w:val="24"/>
          <w:szCs w:val="24"/>
          <w:lang w:val="en-US" w:eastAsia="zh-CN"/>
          <w14:textFill>
            <w14:solidFill>
              <w14:schemeClr w14:val="tx1"/>
            </w14:solidFill>
          </w14:textFill>
        </w:rPr>
        <w:t>差旅费、劳务费、下乡补助。</w:t>
      </w:r>
      <w:r>
        <w:rPr>
          <w:rFonts w:hint="eastAsia" w:ascii="宋体" w:hAnsi="宋体"/>
          <w:color w:val="auto"/>
          <w:sz w:val="24"/>
          <w:szCs w:val="24"/>
          <w:lang w:val="zh-CN"/>
        </w:rPr>
        <w:t>机关运行经费较上年决算数减少297.8万元,下降83.47%,</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落实过紧日子要求压减</w:t>
      </w:r>
      <w:r>
        <w:rPr>
          <w:rFonts w:hint="eastAsia" w:ascii="宋体" w:hAnsi="宋体"/>
          <w:color w:val="000000" w:themeColor="text1"/>
          <w:sz w:val="24"/>
          <w:szCs w:val="24"/>
          <w:lang w:val="en-US" w:eastAsia="zh-CN"/>
          <w14:textFill>
            <w14:solidFill>
              <w14:schemeClr w14:val="tx1"/>
            </w14:solidFill>
          </w14:textFill>
        </w:rPr>
        <w:t>经费</w:t>
      </w:r>
      <w:r>
        <w:rPr>
          <w:rFonts w:hint="eastAsia" w:ascii="宋体" w:hAnsi="宋体"/>
          <w:color w:val="000000" w:themeColor="text1"/>
          <w:sz w:val="24"/>
          <w:szCs w:val="24"/>
          <w:lang w:val="zh-CN"/>
          <w14:textFill>
            <w14:solidFill>
              <w14:schemeClr w14:val="tx1"/>
            </w14:solidFill>
          </w14:textFill>
        </w:rPr>
        <w:t>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本年度会议费支出0.00万元,较上年决算数减少0.0万元,下降%，本年度培训费支出0.00万元,较上年决算数减少0.0万元,下降%。</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8718.28万元,其中：政府采购货物支出7837.60万元、政府采购工程支出0.00万元、政府采购服务支出880.68万元。授予中小企业合同金额1685.32万元,占政府采购支出总额的19.33%,其中：授予小微企业合同金额1685.32万元,占政府采购支出总额的19.33%。</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8辆,其中,副部(省)级及以上领导用车0辆、主要领导干部用车0辆、机要通信用车0辆、应急保障用车0辆、执法执勤用车0辆,特种专业技术用车4辆,离退休干部用车0辆,其他用车4辆,其他用</w:t>
      </w:r>
      <w:r>
        <w:rPr>
          <w:rFonts w:hint="eastAsia" w:ascii="宋体" w:hAnsi="宋体"/>
          <w:color w:val="000000" w:themeColor="text1"/>
          <w:sz w:val="24"/>
          <w:szCs w:val="24"/>
          <w:lang w:val="zh-CN"/>
          <w14:textFill>
            <w14:solidFill>
              <w14:schemeClr w14:val="tx1"/>
            </w14:solidFill>
          </w14:textFill>
        </w:rPr>
        <w:t>车主要是用于</w:t>
      </w:r>
      <w:r>
        <w:rPr>
          <w:rFonts w:hint="eastAsia" w:ascii="宋体" w:hAnsi="宋体"/>
          <w:color w:val="000000" w:themeColor="text1"/>
          <w:sz w:val="24"/>
          <w:szCs w:val="24"/>
          <w:lang w:val="en-US" w:eastAsia="zh-CN"/>
          <w14:textFill>
            <w14:solidFill>
              <w14:schemeClr w14:val="tx1"/>
            </w14:solidFill>
          </w14:textFill>
        </w:rPr>
        <w:t>农业执法、畜牧检测等下乡核查</w:t>
      </w:r>
      <w:r>
        <w:rPr>
          <w:rFonts w:hint="eastAsia" w:ascii="宋体" w:hAnsi="宋体"/>
          <w:color w:val="000000" w:themeColor="text1"/>
          <w:sz w:val="24"/>
          <w:szCs w:val="24"/>
          <w:lang w:val="zh-CN"/>
          <w14:textFill>
            <w14:solidFill>
              <w14:schemeClr w14:val="tx1"/>
            </w14:solidFill>
          </w14:textFill>
        </w:rPr>
        <w:t>。单价100万元(含)以上设备0台(套</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1.绩效目标管理情况。</w:t>
      </w:r>
      <w:r>
        <w:rPr>
          <w:rFonts w:hint="eastAsia" w:ascii="仿宋_GB2312" w:hAnsi="仿宋" w:eastAsia="仿宋_GB2312"/>
          <w:sz w:val="32"/>
          <w:szCs w:val="32"/>
        </w:rPr>
        <w:t>2023年度，按照“谁申请资金，谁设置目标”的原则，纳入部门预算管理的</w:t>
      </w:r>
      <w:r>
        <w:rPr>
          <w:rFonts w:hint="eastAsia" w:ascii="仿宋_GB2312" w:hAnsi="CIDFont+F6" w:eastAsia="仿宋_GB2312"/>
          <w:color w:val="000000"/>
          <w:sz w:val="32"/>
          <w:szCs w:val="32"/>
          <w:lang w:eastAsia="zh-CN"/>
        </w:rPr>
        <w:t>单位</w:t>
      </w:r>
      <w:r>
        <w:rPr>
          <w:rFonts w:hint="eastAsia" w:ascii="仿宋_GB2312" w:hAnsi="仿宋" w:eastAsia="仿宋_GB2312"/>
          <w:sz w:val="32"/>
          <w:szCs w:val="32"/>
        </w:rPr>
        <w:t>整体支出和项目绩效目标</w:t>
      </w:r>
      <w:r>
        <w:rPr>
          <w:rFonts w:hint="eastAsia" w:ascii="仿宋_GB2312" w:hAnsi="仿宋" w:eastAsia="仿宋_GB2312"/>
          <w:sz w:val="32"/>
          <w:szCs w:val="32"/>
          <w:lang w:eastAsia="zh-CN"/>
        </w:rPr>
        <w:t>0</w:t>
      </w:r>
      <w:r>
        <w:rPr>
          <w:rFonts w:hint="eastAsia" w:ascii="仿宋_GB2312" w:hAnsi="仿宋" w:eastAsia="仿宋_GB2312"/>
          <w:sz w:val="32"/>
          <w:szCs w:val="32"/>
        </w:rPr>
        <w:t>个，按规定随年度预算一并公开项目</w:t>
      </w:r>
      <w:r>
        <w:rPr>
          <w:rFonts w:hint="eastAsia" w:ascii="仿宋_GB2312" w:hAnsi="仿宋" w:eastAsia="仿宋_GB2312"/>
          <w:sz w:val="32"/>
          <w:szCs w:val="32"/>
          <w:lang w:eastAsia="zh-CN"/>
        </w:rPr>
        <w:t>0</w:t>
      </w:r>
      <w:r>
        <w:rPr>
          <w:rFonts w:hint="eastAsia" w:ascii="仿宋_GB2312" w:hAnsi="仿宋" w:eastAsia="仿宋_GB2312"/>
          <w:sz w:val="32"/>
          <w:szCs w:val="32"/>
        </w:rPr>
        <w:t>个，公开率为</w:t>
      </w:r>
      <w:r>
        <w:rPr>
          <w:rFonts w:hint="eastAsia" w:ascii="仿宋_GB2312" w:hAnsi="仿宋" w:eastAsia="仿宋_GB2312"/>
          <w:sz w:val="32"/>
          <w:szCs w:val="32"/>
          <w:lang w:eastAsia="zh-CN"/>
        </w:rPr>
        <w:t>0</w:t>
      </w:r>
      <w:r>
        <w:rPr>
          <w:rFonts w:hint="eastAsia" w:ascii="仿宋_GB2312" w:hAnsi="仿宋" w:eastAsia="仿宋_GB2312"/>
          <w:sz w:val="32"/>
          <w:szCs w:val="32"/>
        </w:rPr>
        <w:t xml:space="preserve"> %。</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2.绩效运行监控情况。</w:t>
      </w:r>
      <w:r>
        <w:rPr>
          <w:rFonts w:hint="eastAsia" w:ascii="仿宋_GB2312" w:hAnsi="仿宋" w:eastAsia="仿宋_GB2312"/>
          <w:sz w:val="32"/>
          <w:szCs w:val="32"/>
        </w:rPr>
        <w:t>2023年7月，组织开展1-6月绩效运行监控项目</w:t>
      </w:r>
      <w:r>
        <w:rPr>
          <w:rFonts w:hint="eastAsia" w:ascii="仿宋_GB2312" w:hAnsi="仿宋" w:eastAsia="仿宋_GB2312"/>
          <w:sz w:val="32"/>
          <w:szCs w:val="32"/>
          <w:lang w:eastAsia="zh-CN"/>
        </w:rPr>
        <w:t>0</w:t>
      </w:r>
      <w:r>
        <w:rPr>
          <w:rFonts w:hint="eastAsia" w:ascii="仿宋_GB2312" w:hAnsi="仿宋" w:eastAsia="仿宋_GB2312"/>
          <w:sz w:val="32"/>
          <w:szCs w:val="32"/>
        </w:rPr>
        <w:t>个，占本</w:t>
      </w:r>
      <w:r>
        <w:rPr>
          <w:rFonts w:hint="eastAsia" w:ascii="仿宋_GB2312" w:hAnsi="CIDFont+F6" w:eastAsia="仿宋_GB2312"/>
          <w:color w:val="000000"/>
          <w:sz w:val="32"/>
          <w:szCs w:val="32"/>
          <w:lang w:eastAsia="zh-CN"/>
        </w:rPr>
        <w:t>单位</w:t>
      </w:r>
      <w:r>
        <w:rPr>
          <w:rFonts w:hint="eastAsia" w:ascii="仿宋_GB2312" w:hAnsi="仿宋" w:eastAsia="仿宋_GB2312"/>
          <w:sz w:val="32"/>
          <w:szCs w:val="32"/>
        </w:rPr>
        <w:t>项目的</w:t>
      </w:r>
      <w:r>
        <w:rPr>
          <w:rFonts w:hint="eastAsia" w:ascii="仿宋_GB2312" w:hAnsi="仿宋" w:eastAsia="仿宋_GB2312"/>
          <w:sz w:val="32"/>
          <w:szCs w:val="32"/>
          <w:lang w:eastAsia="zh-CN"/>
        </w:rPr>
        <w:t>0</w:t>
      </w:r>
      <w:r>
        <w:rPr>
          <w:rFonts w:hint="eastAsia" w:ascii="仿宋_GB2312" w:hAnsi="仿宋" w:eastAsia="仿宋_GB2312"/>
          <w:sz w:val="32"/>
          <w:szCs w:val="32"/>
        </w:rPr>
        <w:t xml:space="preserve"> %。截至7月底，如期完成预算执行和绩效目标指标值的项目</w:t>
      </w:r>
      <w:r>
        <w:rPr>
          <w:rFonts w:hint="eastAsia" w:ascii="仿宋_GB2312" w:hAnsi="仿宋" w:eastAsia="仿宋_GB2312"/>
          <w:sz w:val="32"/>
          <w:szCs w:val="32"/>
          <w:lang w:eastAsia="zh-CN"/>
        </w:rPr>
        <w:t>0</w:t>
      </w:r>
      <w:r>
        <w:rPr>
          <w:rFonts w:hint="eastAsia" w:ascii="仿宋_GB2312" w:hAnsi="仿宋" w:eastAsia="仿宋_GB2312"/>
          <w:sz w:val="32"/>
          <w:szCs w:val="32"/>
        </w:rPr>
        <w:t>个，完成率为</w:t>
      </w:r>
      <w:r>
        <w:rPr>
          <w:rFonts w:hint="eastAsia" w:ascii="仿宋_GB2312" w:hAnsi="仿宋" w:eastAsia="仿宋_GB2312"/>
          <w:sz w:val="32"/>
          <w:szCs w:val="32"/>
          <w:lang w:eastAsia="zh-CN"/>
        </w:rPr>
        <w:t>0</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eastAsia="zh-CN"/>
        </w:rPr>
        <w:t>无</w:t>
      </w:r>
      <w:r>
        <w:rPr>
          <w:rFonts w:hint="eastAsia" w:ascii="仿宋_GB2312" w:hAnsi="仿宋" w:eastAsia="仿宋_GB2312"/>
          <w:sz w:val="32"/>
          <w:szCs w:val="32"/>
        </w:rPr>
        <w:t>。开展1-9月绩效运行监控项目</w:t>
      </w:r>
      <w:r>
        <w:rPr>
          <w:rFonts w:hint="eastAsia" w:ascii="仿宋_GB2312" w:hAnsi="仿宋" w:eastAsia="仿宋_GB2312"/>
          <w:sz w:val="32"/>
          <w:szCs w:val="32"/>
          <w:lang w:eastAsia="zh-CN"/>
        </w:rPr>
        <w:t>0</w:t>
      </w:r>
      <w:r>
        <w:rPr>
          <w:rFonts w:hint="eastAsia" w:ascii="仿宋_GB2312" w:hAnsi="仿宋" w:eastAsia="仿宋_GB2312"/>
          <w:sz w:val="32"/>
          <w:szCs w:val="32"/>
        </w:rPr>
        <w:t>个，占本</w:t>
      </w:r>
      <w:r>
        <w:rPr>
          <w:rFonts w:hint="eastAsia" w:ascii="仿宋_GB2312" w:hAnsi="仿宋" w:eastAsia="仿宋_GB2312"/>
          <w:sz w:val="32"/>
          <w:szCs w:val="32"/>
          <w:lang w:eastAsia="zh-CN"/>
        </w:rPr>
        <w:t>单位</w:t>
      </w:r>
      <w:r>
        <w:rPr>
          <w:rFonts w:hint="eastAsia" w:ascii="仿宋_GB2312" w:hAnsi="仿宋" w:eastAsia="仿宋_GB2312"/>
          <w:sz w:val="32"/>
          <w:szCs w:val="32"/>
        </w:rPr>
        <w:t>项目的</w:t>
      </w:r>
      <w:r>
        <w:rPr>
          <w:rFonts w:hint="eastAsia" w:ascii="仿宋_GB2312" w:hAnsi="仿宋" w:eastAsia="仿宋_GB2312"/>
          <w:sz w:val="32"/>
          <w:szCs w:val="32"/>
          <w:lang w:eastAsia="zh-CN"/>
        </w:rPr>
        <w:t>0</w:t>
      </w:r>
      <w:r>
        <w:rPr>
          <w:rFonts w:hint="eastAsia" w:ascii="仿宋_GB2312" w:hAnsi="仿宋" w:eastAsia="仿宋_GB2312"/>
          <w:sz w:val="32"/>
          <w:szCs w:val="32"/>
        </w:rPr>
        <w:t xml:space="preserve"> %。截至10月底，如期完成预算执行和绩效目标指标值的项目</w:t>
      </w:r>
      <w:r>
        <w:rPr>
          <w:rFonts w:hint="eastAsia" w:ascii="仿宋_GB2312" w:hAnsi="仿宋" w:eastAsia="仿宋_GB2312"/>
          <w:sz w:val="32"/>
          <w:szCs w:val="32"/>
          <w:lang w:eastAsia="zh-CN"/>
        </w:rPr>
        <w:t>0</w:t>
      </w:r>
      <w:r>
        <w:rPr>
          <w:rFonts w:hint="eastAsia" w:ascii="仿宋_GB2312" w:hAnsi="仿宋" w:eastAsia="仿宋_GB2312"/>
          <w:sz w:val="32"/>
          <w:szCs w:val="32"/>
        </w:rPr>
        <w:t>个，完成率为</w:t>
      </w:r>
      <w:r>
        <w:rPr>
          <w:rFonts w:hint="eastAsia" w:ascii="仿宋_GB2312" w:hAnsi="仿宋" w:eastAsia="仿宋_GB2312"/>
          <w:sz w:val="32"/>
          <w:szCs w:val="32"/>
          <w:lang w:eastAsia="zh-CN"/>
        </w:rPr>
        <w:t>0</w:t>
      </w:r>
      <w:r>
        <w:rPr>
          <w:rFonts w:hint="eastAsia" w:ascii="仿宋_GB2312" w:hAnsi="仿宋" w:eastAsia="仿宋_GB2312"/>
          <w:sz w:val="32"/>
          <w:szCs w:val="32"/>
        </w:rPr>
        <w:t xml:space="preserve"> %。“双监控”发现存在的问题和主要原因是：</w:t>
      </w:r>
      <w:r>
        <w:rPr>
          <w:rFonts w:hint="eastAsia" w:ascii="仿宋_GB2312" w:hAnsi="仿宋" w:eastAsia="仿宋_GB2312"/>
          <w:sz w:val="32"/>
          <w:szCs w:val="32"/>
          <w:lang w:eastAsia="zh-CN"/>
        </w:rPr>
        <w:t>无</w:t>
      </w:r>
      <w:r>
        <w:rPr>
          <w:rFonts w:hint="eastAsia" w:ascii="仿宋_GB2312" w:hAnsi="仿宋" w:eastAsia="仿宋_GB2312"/>
          <w:sz w:val="32"/>
          <w:szCs w:val="32"/>
        </w:rPr>
        <w:t>。绩效运行监控在部门内部通报整改情况：</w:t>
      </w:r>
      <w:r>
        <w:rPr>
          <w:rFonts w:hint="eastAsia" w:ascii="仿宋_GB2312" w:hAnsi="仿宋" w:eastAsia="仿宋_GB2312"/>
          <w:sz w:val="32"/>
          <w:szCs w:val="32"/>
          <w:lang w:eastAsia="zh-CN"/>
        </w:rPr>
        <w:t>无</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3.绩效自评开展情况。</w:t>
      </w:r>
      <w:r>
        <w:rPr>
          <w:rFonts w:hint="eastAsia" w:ascii="仿宋_GB2312" w:hAnsi="仿宋" w:eastAsia="仿宋_GB2312"/>
          <w:sz w:val="32"/>
          <w:szCs w:val="32"/>
        </w:rPr>
        <w:t>2023年度，组织开展绩效自评项目共</w:t>
      </w:r>
      <w:r>
        <w:rPr>
          <w:rFonts w:hint="eastAsia" w:ascii="仿宋_GB2312" w:hAnsi="仿宋" w:eastAsia="仿宋_GB2312"/>
          <w:sz w:val="32"/>
          <w:szCs w:val="32"/>
          <w:lang w:eastAsia="zh-CN"/>
        </w:rPr>
        <w:t>0</w:t>
      </w:r>
      <w:r>
        <w:rPr>
          <w:rFonts w:hint="eastAsia" w:ascii="仿宋_GB2312" w:hAnsi="仿宋" w:eastAsia="仿宋_GB2312"/>
          <w:sz w:val="32"/>
          <w:szCs w:val="32"/>
        </w:rPr>
        <w:t>个，其中，</w:t>
      </w:r>
      <w:r>
        <w:rPr>
          <w:rFonts w:hint="eastAsia" w:ascii="仿宋_GB2312" w:hAnsi="仿宋" w:eastAsia="仿宋_GB2312"/>
          <w:sz w:val="32"/>
          <w:szCs w:val="32"/>
          <w:lang w:eastAsia="zh-CN"/>
        </w:rPr>
        <w:t>单位</w:t>
      </w:r>
      <w:r>
        <w:rPr>
          <w:rFonts w:hint="eastAsia" w:ascii="仿宋_GB2312" w:hAnsi="仿宋" w:eastAsia="仿宋_GB2312"/>
          <w:sz w:val="32"/>
          <w:szCs w:val="32"/>
        </w:rPr>
        <w:t>整体支出</w:t>
      </w:r>
      <w:r>
        <w:rPr>
          <w:rFonts w:hint="eastAsia" w:ascii="仿宋_GB2312" w:hAnsi="仿宋" w:eastAsia="仿宋_GB2312"/>
          <w:sz w:val="32"/>
          <w:szCs w:val="32"/>
          <w:lang w:eastAsia="zh-CN"/>
        </w:rPr>
        <w:t>0</w:t>
      </w:r>
      <w:r>
        <w:rPr>
          <w:rFonts w:hint="eastAsia" w:ascii="仿宋_GB2312" w:hAnsi="仿宋" w:eastAsia="仿宋_GB2312"/>
          <w:sz w:val="32"/>
          <w:szCs w:val="32"/>
        </w:rPr>
        <w:t>个，项目支出</w:t>
      </w:r>
      <w:r>
        <w:rPr>
          <w:rFonts w:hint="eastAsia" w:ascii="仿宋_GB2312" w:hAnsi="仿宋" w:eastAsia="仿宋_GB2312"/>
          <w:sz w:val="32"/>
          <w:szCs w:val="32"/>
          <w:lang w:eastAsia="zh-CN"/>
        </w:rPr>
        <w:t>0</w:t>
      </w:r>
      <w:r>
        <w:rPr>
          <w:rFonts w:hint="eastAsia" w:ascii="仿宋_GB2312" w:hAnsi="仿宋" w:eastAsia="仿宋_GB2312"/>
          <w:sz w:val="32"/>
          <w:szCs w:val="32"/>
        </w:rPr>
        <w:t>个，转移支付项目</w:t>
      </w:r>
      <w:r>
        <w:rPr>
          <w:rFonts w:hint="eastAsia" w:ascii="仿宋_GB2312" w:hAnsi="仿宋" w:eastAsia="仿宋_GB2312"/>
          <w:sz w:val="32"/>
          <w:szCs w:val="32"/>
          <w:lang w:eastAsia="zh-CN"/>
        </w:rPr>
        <w:t>0</w:t>
      </w:r>
      <w:r>
        <w:rPr>
          <w:rFonts w:hint="eastAsia" w:ascii="仿宋_GB2312" w:hAnsi="仿宋" w:eastAsia="仿宋_GB2312"/>
          <w:sz w:val="32"/>
          <w:szCs w:val="32"/>
        </w:rPr>
        <w:t>个，绩效自评覆盖率为</w:t>
      </w:r>
      <w:r>
        <w:rPr>
          <w:rFonts w:hint="eastAsia" w:ascii="仿宋_GB2312" w:hAnsi="仿宋" w:eastAsia="仿宋_GB2312"/>
          <w:sz w:val="32"/>
          <w:szCs w:val="32"/>
          <w:lang w:eastAsia="zh-CN"/>
        </w:rPr>
        <w:t>0</w:t>
      </w:r>
      <w:r>
        <w:rPr>
          <w:rFonts w:hint="eastAsia" w:ascii="仿宋_GB2312" w:hAnsi="仿宋" w:eastAsia="仿宋_GB2312"/>
          <w:sz w:val="32"/>
          <w:szCs w:val="32"/>
        </w:rPr>
        <w:t xml:space="preserve"> %。绩效自评结果随部门决算报送财政和随决算公开情况：</w:t>
      </w:r>
      <w:r>
        <w:rPr>
          <w:rFonts w:hint="eastAsia" w:ascii="仿宋_GB2312" w:hAnsi="仿宋" w:eastAsia="仿宋_GB2312"/>
          <w:sz w:val="32"/>
          <w:szCs w:val="32"/>
          <w:lang w:eastAsia="zh-CN"/>
        </w:rPr>
        <w:t>无</w:t>
      </w:r>
      <w:r>
        <w:rPr>
          <w:rFonts w:hint="eastAsia" w:ascii="仿宋_GB2312" w:hAnsi="仿宋" w:eastAsia="仿宋_GB2312"/>
          <w:sz w:val="32"/>
          <w:szCs w:val="32"/>
        </w:rPr>
        <w:t>。</w:t>
      </w:r>
    </w:p>
    <w:p>
      <w:pPr>
        <w:widowControl/>
        <w:adjustRightInd w:val="0"/>
        <w:snapToGrid w:val="0"/>
        <w:spacing w:line="640" w:lineRule="exact"/>
        <w:ind w:firstLine="643" w:firstLineChars="200"/>
        <w:contextualSpacing/>
        <w:jc w:val="left"/>
        <w:rPr>
          <w:rFonts w:ascii="仿宋_GB2312" w:hAnsi="仿宋" w:eastAsia="仿宋_GB2312"/>
          <w:sz w:val="32"/>
          <w:szCs w:val="32"/>
        </w:rPr>
      </w:pPr>
      <w:r>
        <w:rPr>
          <w:rFonts w:hint="eastAsia" w:ascii="仿宋_GB2312" w:hAnsi="仿宋" w:eastAsia="仿宋_GB2312"/>
          <w:b/>
          <w:sz w:val="32"/>
          <w:szCs w:val="32"/>
        </w:rPr>
        <w:t>4.绩效结果应用情况。</w:t>
      </w:r>
      <w:r>
        <w:rPr>
          <w:rFonts w:hint="eastAsia" w:ascii="仿宋_GB2312" w:hAnsi="仿宋" w:eastAsia="仿宋_GB2312"/>
          <w:sz w:val="32"/>
          <w:szCs w:val="32"/>
        </w:rPr>
        <w:t>根据2023年度绩效运行监控、绩效自评等情况，当年盘活财政资金</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万元，2024年度增加部门预算项目</w:t>
      </w:r>
      <w:r>
        <w:rPr>
          <w:rFonts w:hint="eastAsia" w:ascii="仿宋_GB2312" w:hAnsi="仿宋" w:eastAsia="仿宋_GB2312"/>
          <w:sz w:val="32"/>
          <w:szCs w:val="32"/>
          <w:lang w:eastAsia="zh-CN"/>
        </w:rPr>
        <w:t>0</w:t>
      </w:r>
      <w:r>
        <w:rPr>
          <w:rFonts w:hint="eastAsia" w:ascii="仿宋_GB2312" w:hAnsi="仿宋" w:eastAsia="仿宋_GB2312"/>
          <w:sz w:val="32"/>
          <w:szCs w:val="32"/>
        </w:rPr>
        <w:t>个，增长率</w:t>
      </w:r>
      <w:r>
        <w:rPr>
          <w:rFonts w:hint="eastAsia" w:ascii="仿宋_GB2312" w:hAnsi="仿宋" w:eastAsia="仿宋_GB2312"/>
          <w:sz w:val="32"/>
          <w:szCs w:val="32"/>
          <w:lang w:eastAsia="zh-CN"/>
        </w:rPr>
        <w:t>0</w:t>
      </w:r>
      <w:r>
        <w:rPr>
          <w:rFonts w:hint="eastAsia" w:ascii="仿宋_GB2312" w:hAnsi="仿宋" w:eastAsia="仿宋_GB2312"/>
          <w:sz w:val="32"/>
          <w:szCs w:val="32"/>
        </w:rPr>
        <w:t>%。同时对政策和项目资金管理作出调整的</w:t>
      </w:r>
      <w:r>
        <w:rPr>
          <w:rFonts w:hint="eastAsia" w:ascii="仿宋_GB2312" w:hAnsi="仿宋" w:eastAsia="仿宋_GB2312"/>
          <w:sz w:val="32"/>
          <w:szCs w:val="32"/>
          <w:lang w:eastAsia="zh-CN"/>
        </w:rPr>
        <w:t>0</w:t>
      </w:r>
      <w:r>
        <w:rPr>
          <w:rFonts w:hint="eastAsia" w:ascii="仿宋_GB2312" w:hAnsi="仿宋" w:eastAsia="仿宋_GB2312"/>
          <w:sz w:val="32"/>
          <w:szCs w:val="32"/>
        </w:rPr>
        <w:t>个。</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IDFont+F6">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D1BDF99F"/>
    <w:multiLevelType w:val="singleLevel"/>
    <w:tmpl w:val="D1BDF99F"/>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cyMDE1YmM2NjVjOWIzZjI4OGRkNzRkOGZmOWIifQ=="/>
  </w:docVars>
  <w:rsids>
    <w:rsidRoot w:val="00000000"/>
    <w:rsid w:val="07290B8F"/>
    <w:rsid w:val="4B8D68ED"/>
    <w:rsid w:val="6D3824A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29472767-2bb9-405e-bccc-7475e424e134}">
  <ds:schemaRefs/>
</ds:datastoreItem>
</file>

<file path=customXml/itemProps2.xml><?xml version="1.0" encoding="utf-8"?>
<ds:datastoreItem xmlns:ds="http://schemas.openxmlformats.org/officeDocument/2006/customXml" ds:itemID="{d32f52c7-fb3f-47f7-a730-19ce7d89d802}">
  <ds:schemaRefs/>
</ds:datastoreItem>
</file>

<file path=customXml/itemProps3.xml><?xml version="1.0" encoding="utf-8"?>
<ds:datastoreItem xmlns:ds="http://schemas.openxmlformats.org/officeDocument/2006/customXml" ds:itemID="{88a15c0c-e4ab-4a12-89fa-96eec4785a8c}">
  <ds:schemaRefs/>
</ds:datastoreItem>
</file>

<file path=customXml/itemProps4.xml><?xml version="1.0" encoding="utf-8"?>
<ds:datastoreItem xmlns:ds="http://schemas.openxmlformats.org/officeDocument/2006/customXml" ds:itemID="{32ab9f64-a788-4512-89a8-9b7ca61c9a63}">
  <ds:schemaRefs/>
</ds:datastoreItem>
</file>

<file path=customXml/itemProps5.xml><?xml version="1.0" encoding="utf-8"?>
<ds:datastoreItem xmlns:ds="http://schemas.openxmlformats.org/officeDocument/2006/customXml" ds:itemID="{503124ed-ea15-41b9-bdab-457fcc5c729e}">
  <ds:schemaRefs/>
</ds:datastoreItem>
</file>

<file path=customXml/itemProps6.xml><?xml version="1.0" encoding="utf-8"?>
<ds:datastoreItem xmlns:ds="http://schemas.openxmlformats.org/officeDocument/2006/customXml" ds:itemID="{ed56be97-c6a3-493e-97a2-df9f301ac0f1}">
  <ds:schemaRefs/>
</ds:datastoreItem>
</file>

<file path=customXml/itemProps7.xml><?xml version="1.0" encoding="utf-8"?>
<ds:datastoreItem xmlns:ds="http://schemas.openxmlformats.org/officeDocument/2006/customXml" ds:itemID="{6d306c42-52c9-4a86-9cf9-a87abe44b17e}">
  <ds:schemaRefs/>
</ds:datastoreItem>
</file>

<file path=customXml/itemProps8.xml><?xml version="1.0" encoding="utf-8"?>
<ds:datastoreItem xmlns:ds="http://schemas.openxmlformats.org/officeDocument/2006/customXml" ds:itemID="{f7af1f76-05de-49e7-b301-c4cd7fb0f763}">
  <ds:schemaRefs/>
</ds:datastoreItem>
</file>

<file path=customXml/itemProps9.xml><?xml version="1.0" encoding="utf-8"?>
<ds:datastoreItem xmlns:ds="http://schemas.openxmlformats.org/officeDocument/2006/customXml" ds:itemID="{543129f3-a8c4-4db4-b4f0-302fce43f6d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7389</Words>
  <Characters>8667</Characters>
  <Lines>0</Lines>
  <Paragraphs>0</Paragraphs>
  <TotalTime>1</TotalTime>
  <ScaleCrop>false</ScaleCrop>
  <LinksUpToDate>false</LinksUpToDate>
  <CharactersWithSpaces>8671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2024-09-11T06:20:49Z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