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3A19B">
      <w:pPr>
        <w:spacing w:before="100" w:beforeLines="0" w:after="100" w:afterLines="0"/>
        <w:jc w:val="center"/>
        <w:rPr>
          <w:rFonts w:hint="eastAsia" w:ascii="宋体" w:hAnsi="宋体"/>
          <w:sz w:val="24"/>
          <w:szCs w:val="24"/>
          <w:lang w:val="zh-CN"/>
        </w:rPr>
      </w:pPr>
    </w:p>
    <w:p w14:paraId="27E88C5C">
      <w:pPr>
        <w:spacing w:before="100" w:beforeLines="0" w:after="100" w:afterLines="0"/>
        <w:jc w:val="center"/>
        <w:rPr>
          <w:rFonts w:hint="eastAsia" w:ascii="宋体" w:hAnsi="宋体"/>
          <w:sz w:val="24"/>
          <w:szCs w:val="24"/>
          <w:lang w:val="zh-CN"/>
        </w:rPr>
      </w:pPr>
    </w:p>
    <w:p w14:paraId="1149CD49">
      <w:pPr>
        <w:spacing w:before="100" w:beforeLines="0" w:after="100" w:afterLines="0"/>
        <w:jc w:val="center"/>
        <w:rPr>
          <w:rFonts w:hint="eastAsia" w:ascii="宋体" w:hAnsi="宋体"/>
          <w:sz w:val="24"/>
          <w:szCs w:val="24"/>
          <w:lang w:val="zh-CN"/>
        </w:rPr>
      </w:pPr>
    </w:p>
    <w:p w14:paraId="7DB74FFC">
      <w:pPr>
        <w:spacing w:before="100" w:beforeLines="0" w:after="100" w:afterLines="0"/>
        <w:jc w:val="center"/>
        <w:rPr>
          <w:rFonts w:hint="eastAsia" w:ascii="宋体" w:hAnsi="宋体"/>
          <w:sz w:val="24"/>
          <w:szCs w:val="24"/>
          <w:lang w:val="zh-CN"/>
        </w:rPr>
      </w:pPr>
    </w:p>
    <w:p w14:paraId="0CC00989">
      <w:pPr>
        <w:spacing w:before="100" w:beforeLines="0" w:after="100" w:afterLines="0"/>
        <w:jc w:val="center"/>
        <w:rPr>
          <w:rFonts w:hint="eastAsia" w:ascii="宋体" w:hAnsi="宋体"/>
          <w:sz w:val="24"/>
          <w:szCs w:val="24"/>
          <w:lang w:val="zh-CN"/>
        </w:rPr>
      </w:pPr>
    </w:p>
    <w:p w14:paraId="04DBBE48">
      <w:pPr>
        <w:spacing w:before="100" w:beforeLines="0" w:after="100" w:afterLines="0"/>
        <w:jc w:val="center"/>
        <w:rPr>
          <w:rFonts w:hint="eastAsia" w:ascii="宋体" w:hAnsi="宋体"/>
          <w:sz w:val="24"/>
          <w:szCs w:val="24"/>
          <w:lang w:val="zh-CN"/>
        </w:rPr>
      </w:pPr>
    </w:p>
    <w:p w14:paraId="682D49E2">
      <w:pPr>
        <w:spacing w:before="100" w:beforeLines="0" w:after="100" w:afterLines="0"/>
        <w:jc w:val="center"/>
        <w:rPr>
          <w:rFonts w:hint="eastAsia" w:ascii="宋体" w:hAnsi="宋体"/>
          <w:sz w:val="24"/>
          <w:szCs w:val="24"/>
          <w:lang w:val="zh-CN"/>
        </w:rPr>
      </w:pPr>
    </w:p>
    <w:p w14:paraId="4A5D38FA">
      <w:pPr>
        <w:spacing w:before="100" w:beforeLines="0" w:after="100" w:afterLines="0"/>
        <w:jc w:val="center"/>
        <w:rPr>
          <w:rFonts w:hint="eastAsia" w:ascii="宋体" w:hAnsi="宋体"/>
          <w:sz w:val="24"/>
          <w:szCs w:val="24"/>
          <w:lang w:val="zh-CN"/>
        </w:rPr>
      </w:pPr>
    </w:p>
    <w:p w14:paraId="7E5E11C1">
      <w:pPr>
        <w:spacing w:before="100" w:beforeLines="0" w:after="100" w:afterLines="0"/>
        <w:jc w:val="center"/>
        <w:rPr>
          <w:rFonts w:hint="eastAsia" w:ascii="宋体" w:hAnsi="宋体"/>
          <w:sz w:val="24"/>
          <w:szCs w:val="24"/>
          <w:lang w:val="zh-CN"/>
        </w:rPr>
      </w:pPr>
    </w:p>
    <w:p w14:paraId="6E474184">
      <w:pPr>
        <w:spacing w:before="100" w:beforeLines="0" w:after="100" w:afterLines="0"/>
        <w:jc w:val="center"/>
        <w:rPr>
          <w:rFonts w:hint="eastAsia" w:ascii="宋体" w:hAnsi="宋体"/>
          <w:sz w:val="24"/>
          <w:szCs w:val="24"/>
          <w:lang w:val="zh-CN"/>
        </w:rPr>
      </w:pPr>
    </w:p>
    <w:p w14:paraId="160EBD8E">
      <w:pPr>
        <w:spacing w:before="100" w:beforeLines="0" w:after="100" w:afterLines="0"/>
        <w:jc w:val="center"/>
        <w:rPr>
          <w:rFonts w:hint="eastAsia" w:ascii="宋体" w:hAnsi="宋体"/>
          <w:sz w:val="24"/>
          <w:szCs w:val="24"/>
          <w:lang w:val="zh-CN"/>
        </w:rPr>
      </w:pPr>
    </w:p>
    <w:p w14:paraId="4C5A2F84">
      <w:pPr>
        <w:spacing w:before="100" w:beforeLines="0" w:after="100" w:afterLines="0"/>
        <w:jc w:val="center"/>
        <w:rPr>
          <w:rFonts w:hint="eastAsia" w:ascii="宋体" w:hAnsi="宋体"/>
          <w:sz w:val="24"/>
          <w:szCs w:val="24"/>
          <w:lang w:val="zh-CN"/>
        </w:rPr>
      </w:pPr>
    </w:p>
    <w:p w14:paraId="2628A96E">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2023年度</w:t>
      </w:r>
    </w:p>
    <w:p w14:paraId="3C3F6D67">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东乡族自治县北岭学校部门决算</w:t>
      </w:r>
    </w:p>
    <w:p w14:paraId="592546AF">
      <w:pPr>
        <w:spacing w:before="100" w:beforeLines="0" w:after="100" w:afterLines="0"/>
        <w:jc w:val="center"/>
        <w:rPr>
          <w:rFonts w:hint="eastAsia" w:ascii="宋体" w:hAnsi="宋体"/>
          <w:sz w:val="24"/>
          <w:szCs w:val="24"/>
          <w:lang w:val="zh-CN"/>
        </w:rPr>
      </w:pPr>
    </w:p>
    <w:p w14:paraId="11B0AECD">
      <w:pPr>
        <w:spacing w:before="100" w:beforeLines="0" w:after="100" w:afterLines="0"/>
        <w:jc w:val="center"/>
        <w:rPr>
          <w:rFonts w:hint="eastAsia" w:ascii="宋体" w:hAnsi="宋体"/>
          <w:sz w:val="24"/>
          <w:szCs w:val="24"/>
          <w:lang w:val="zh-CN"/>
        </w:rPr>
      </w:pPr>
    </w:p>
    <w:p w14:paraId="37627915">
      <w:pPr>
        <w:spacing w:before="100" w:beforeLines="0" w:after="100" w:afterLines="0"/>
        <w:jc w:val="center"/>
        <w:rPr>
          <w:rFonts w:hint="eastAsia" w:ascii="宋体" w:hAnsi="宋体"/>
          <w:sz w:val="24"/>
          <w:szCs w:val="24"/>
          <w:lang w:val="zh-CN"/>
        </w:rPr>
      </w:pPr>
    </w:p>
    <w:p w14:paraId="1343F5E0">
      <w:pPr>
        <w:spacing w:before="100" w:beforeLines="0" w:after="100" w:afterLines="0"/>
        <w:jc w:val="center"/>
        <w:rPr>
          <w:rFonts w:hint="eastAsia" w:ascii="宋体" w:hAnsi="宋体"/>
          <w:sz w:val="24"/>
          <w:szCs w:val="24"/>
          <w:lang w:val="zh-CN"/>
        </w:rPr>
      </w:pPr>
    </w:p>
    <w:p w14:paraId="059F32DB">
      <w:pPr>
        <w:spacing w:before="100" w:beforeLines="0" w:after="100" w:afterLines="0"/>
        <w:jc w:val="center"/>
        <w:rPr>
          <w:rFonts w:hint="eastAsia" w:ascii="宋体" w:hAnsi="宋体"/>
          <w:sz w:val="24"/>
          <w:szCs w:val="24"/>
          <w:lang w:val="zh-CN"/>
        </w:rPr>
      </w:pPr>
    </w:p>
    <w:p w14:paraId="0C655C57">
      <w:pPr>
        <w:spacing w:before="100" w:beforeLines="0" w:after="100" w:afterLines="0"/>
        <w:jc w:val="center"/>
        <w:rPr>
          <w:rFonts w:hint="eastAsia" w:ascii="宋体" w:hAnsi="宋体"/>
          <w:sz w:val="24"/>
          <w:szCs w:val="24"/>
          <w:lang w:val="zh-CN"/>
        </w:rPr>
      </w:pPr>
    </w:p>
    <w:p w14:paraId="542DD98F">
      <w:pPr>
        <w:spacing w:before="100" w:beforeLines="0" w:after="100" w:afterLines="0"/>
        <w:jc w:val="center"/>
        <w:rPr>
          <w:rFonts w:hint="eastAsia" w:ascii="宋体" w:hAnsi="宋体"/>
          <w:sz w:val="24"/>
          <w:szCs w:val="24"/>
          <w:lang w:val="zh-CN"/>
        </w:rPr>
      </w:pPr>
    </w:p>
    <w:p w14:paraId="29DA039A">
      <w:pPr>
        <w:spacing w:before="100" w:beforeLines="0" w:after="100" w:afterLines="0"/>
        <w:jc w:val="center"/>
        <w:rPr>
          <w:rFonts w:hint="eastAsia" w:ascii="宋体" w:hAnsi="宋体"/>
          <w:sz w:val="24"/>
          <w:szCs w:val="24"/>
          <w:lang w:val="zh-CN"/>
        </w:rPr>
      </w:pPr>
    </w:p>
    <w:p w14:paraId="0D2BEECF">
      <w:pPr>
        <w:spacing w:before="100" w:beforeLines="0" w:after="100" w:afterLines="0"/>
        <w:jc w:val="center"/>
        <w:rPr>
          <w:rFonts w:hint="eastAsia" w:ascii="宋体" w:hAnsi="宋体"/>
          <w:sz w:val="24"/>
          <w:szCs w:val="24"/>
          <w:lang w:val="zh-CN"/>
        </w:rPr>
      </w:pPr>
    </w:p>
    <w:p w14:paraId="11F45452">
      <w:pPr>
        <w:spacing w:before="100" w:beforeLines="0" w:after="100" w:afterLines="0"/>
        <w:jc w:val="center"/>
        <w:rPr>
          <w:rFonts w:hint="eastAsia" w:ascii="宋体" w:hAnsi="宋体"/>
          <w:sz w:val="24"/>
          <w:szCs w:val="24"/>
          <w:lang w:val="zh-CN"/>
        </w:rPr>
      </w:pPr>
    </w:p>
    <w:p w14:paraId="21C54191">
      <w:pPr>
        <w:spacing w:before="100" w:beforeLines="0" w:after="100" w:afterLines="0"/>
        <w:jc w:val="center"/>
        <w:rPr>
          <w:rFonts w:hint="eastAsia" w:ascii="宋体" w:hAnsi="宋体"/>
          <w:sz w:val="24"/>
          <w:szCs w:val="24"/>
          <w:lang w:val="zh-CN"/>
        </w:rPr>
      </w:pPr>
    </w:p>
    <w:p w14:paraId="5010779F">
      <w:pPr>
        <w:spacing w:before="100" w:beforeLines="0" w:after="100" w:afterLines="0"/>
        <w:jc w:val="center"/>
        <w:rPr>
          <w:rFonts w:hint="eastAsia" w:ascii="宋体" w:hAnsi="宋体"/>
          <w:sz w:val="24"/>
          <w:szCs w:val="24"/>
          <w:lang w:val="zh-CN"/>
        </w:rPr>
      </w:pPr>
    </w:p>
    <w:p w14:paraId="7494518A">
      <w:pPr>
        <w:spacing w:before="100" w:beforeLines="0" w:after="100" w:afterLines="0"/>
        <w:jc w:val="center"/>
        <w:rPr>
          <w:rFonts w:hint="eastAsia" w:ascii="宋体" w:hAnsi="宋体"/>
          <w:sz w:val="24"/>
          <w:szCs w:val="24"/>
          <w:lang w:val="zh-CN"/>
        </w:rPr>
      </w:pPr>
    </w:p>
    <w:p w14:paraId="18FF78C3">
      <w:pPr>
        <w:spacing w:before="100" w:beforeLines="0" w:after="100" w:afterLines="0"/>
        <w:jc w:val="center"/>
        <w:rPr>
          <w:rFonts w:hint="eastAsia" w:ascii="宋体" w:hAnsi="宋体"/>
          <w:sz w:val="24"/>
          <w:szCs w:val="24"/>
          <w:lang w:val="zh-CN"/>
        </w:rPr>
      </w:pPr>
    </w:p>
    <w:p w14:paraId="4E9D818D">
      <w:pPr>
        <w:spacing w:before="100" w:beforeLines="0" w:after="100" w:afterLines="0"/>
        <w:jc w:val="center"/>
        <w:rPr>
          <w:rFonts w:hint="eastAsia" w:ascii="宋体" w:hAnsi="宋体"/>
          <w:sz w:val="24"/>
          <w:szCs w:val="24"/>
          <w:lang w:val="zh-CN"/>
        </w:rPr>
      </w:pPr>
    </w:p>
    <w:p w14:paraId="1854822C">
      <w:pPr>
        <w:spacing w:before="100" w:beforeLines="0" w:after="100" w:afterLines="0"/>
        <w:jc w:val="center"/>
        <w:rPr>
          <w:rFonts w:hint="eastAsia" w:ascii="宋体" w:hAnsi="宋体"/>
          <w:sz w:val="24"/>
          <w:szCs w:val="24"/>
          <w:lang w:val="zh-CN"/>
        </w:rPr>
      </w:pPr>
    </w:p>
    <w:p w14:paraId="39448AEA">
      <w:pPr>
        <w:spacing w:before="100" w:beforeLines="0" w:after="100" w:afterLines="0"/>
        <w:jc w:val="center"/>
        <w:rPr>
          <w:rFonts w:hint="eastAsia" w:ascii="宋体" w:hAnsi="宋体"/>
          <w:sz w:val="24"/>
          <w:szCs w:val="24"/>
          <w:lang w:val="zh-CN"/>
        </w:rPr>
      </w:pPr>
    </w:p>
    <w:p w14:paraId="42DC5C79">
      <w:pPr>
        <w:spacing w:before="100" w:beforeLines="0" w:after="100" w:afterLines="0"/>
        <w:jc w:val="center"/>
        <w:rPr>
          <w:rFonts w:hint="eastAsia" w:ascii="宋体" w:hAnsi="宋体"/>
          <w:sz w:val="24"/>
          <w:szCs w:val="24"/>
          <w:lang w:val="zh-CN"/>
        </w:rPr>
      </w:pPr>
    </w:p>
    <w:p w14:paraId="4D2431A2">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目录</w:t>
      </w:r>
    </w:p>
    <w:p w14:paraId="39712870">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第一部分部门概况</w:t>
      </w:r>
    </w:p>
    <w:p w14:paraId="459160F2">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500D157A">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二、机构设置</w:t>
      </w:r>
    </w:p>
    <w:p w14:paraId="6CCAD11E">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第二部分2023年度部门决算表</w:t>
      </w:r>
    </w:p>
    <w:p w14:paraId="00005E1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一、收入支出决算总表</w:t>
      </w:r>
    </w:p>
    <w:p w14:paraId="14D5C275">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二、收入决算表</w:t>
      </w:r>
    </w:p>
    <w:p w14:paraId="6DB863EE">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三、支出决算表</w:t>
      </w:r>
    </w:p>
    <w:p w14:paraId="553A288A">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四、财政拨款收入支出决算总表</w:t>
      </w:r>
    </w:p>
    <w:p w14:paraId="4D964F2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五、一般公共预算财政拨款支出决算表</w:t>
      </w:r>
    </w:p>
    <w:p w14:paraId="134C43B0">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六、一般公共预算财政拨款基本支出决算明细表</w:t>
      </w:r>
    </w:p>
    <w:p w14:paraId="5D1F689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七、政府性基金预算财政拨款收入支出决算表</w:t>
      </w:r>
    </w:p>
    <w:p w14:paraId="07792CE0">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八、国有资本经营预算财政拨款支出决算表</w:t>
      </w:r>
    </w:p>
    <w:p w14:paraId="750C0F96">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经费支出决算表</w:t>
      </w:r>
    </w:p>
    <w:p w14:paraId="073A4FF0">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第三部分2023年度部门决算情况说明</w:t>
      </w:r>
    </w:p>
    <w:p w14:paraId="5F154AA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一、收入支出决算总体情况说明</w:t>
      </w:r>
    </w:p>
    <w:p w14:paraId="51A7064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二、收入决算情况说明</w:t>
      </w:r>
    </w:p>
    <w:p w14:paraId="35BAD96A">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三、支出决算情况说明</w:t>
      </w:r>
    </w:p>
    <w:p w14:paraId="42A538B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四、财政拨款收入支出决算总体情况说明</w:t>
      </w:r>
    </w:p>
    <w:p w14:paraId="659C73EB">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五、一般公共预算财政拨款支出决算情况说明</w:t>
      </w:r>
    </w:p>
    <w:p w14:paraId="3DF1BCF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六、一般公共预算财政拨款基本支出决算情况说明</w:t>
      </w:r>
    </w:p>
    <w:p w14:paraId="6398A8E1">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七、政府性基金预算财政拨款收支决算情况说明</w:t>
      </w:r>
    </w:p>
    <w:p w14:paraId="3924A181">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八、国有资本经营预算财政拨款支出情况说明</w:t>
      </w:r>
    </w:p>
    <w:p w14:paraId="77BE93A0">
      <w:pPr>
        <w:spacing w:before="100" w:beforeLines="0" w:after="100" w:afterLines="0"/>
        <w:jc w:val="left"/>
        <w:rPr>
          <w:rFonts w:hint="eastAsia" w:ascii="宋体" w:hAnsi="宋体"/>
          <w:sz w:val="24"/>
          <w:szCs w:val="24"/>
          <w:lang w:val="en-US" w:eastAsia="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经费支出决算情况说明</w:t>
      </w:r>
    </w:p>
    <w:p w14:paraId="7005093D">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十、机关运行经费支出情况说明</w:t>
      </w:r>
    </w:p>
    <w:p w14:paraId="6DAE1D5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十一、政府采购支出情况说明</w:t>
      </w:r>
    </w:p>
    <w:p w14:paraId="2BDF0AA2">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十二、国有资产占用情况说明</w:t>
      </w:r>
    </w:p>
    <w:p w14:paraId="397B3EEB">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十三、其他需要说明的情况</w:t>
      </w:r>
    </w:p>
    <w:p w14:paraId="3EF0FA42">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第四部分预算绩效情况说明</w:t>
      </w:r>
    </w:p>
    <w:p w14:paraId="22D0EE20">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第五部分名词解释</w:t>
      </w:r>
    </w:p>
    <w:p w14:paraId="3F499E4F">
      <w:pPr>
        <w:spacing w:before="100" w:beforeLines="0" w:after="100" w:afterLines="0"/>
        <w:jc w:val="center"/>
        <w:rPr>
          <w:rFonts w:hint="eastAsia" w:ascii="宋体" w:hAnsi="宋体"/>
          <w:sz w:val="24"/>
          <w:szCs w:val="24"/>
          <w:lang w:val="zh-CN"/>
        </w:rPr>
      </w:pPr>
    </w:p>
    <w:p w14:paraId="6EC3396A">
      <w:pPr>
        <w:spacing w:before="100" w:beforeLines="0" w:after="100" w:afterLines="0"/>
        <w:jc w:val="center"/>
        <w:rPr>
          <w:rFonts w:hint="eastAsia" w:ascii="宋体" w:hAnsi="宋体"/>
          <w:sz w:val="24"/>
          <w:szCs w:val="24"/>
          <w:lang w:val="zh-CN"/>
        </w:rPr>
      </w:pPr>
    </w:p>
    <w:p w14:paraId="1A8B6D72">
      <w:pPr>
        <w:spacing w:before="100" w:beforeLines="0" w:after="100" w:afterLines="0"/>
        <w:jc w:val="center"/>
        <w:rPr>
          <w:rFonts w:hint="eastAsia" w:ascii="宋体" w:hAnsi="宋体"/>
          <w:sz w:val="24"/>
          <w:szCs w:val="24"/>
          <w:lang w:val="zh-CN"/>
        </w:rPr>
      </w:pPr>
    </w:p>
    <w:p w14:paraId="35F22D5D">
      <w:pPr>
        <w:spacing w:before="100" w:beforeLines="0" w:after="100" w:afterLines="0"/>
        <w:jc w:val="center"/>
        <w:rPr>
          <w:rFonts w:hint="eastAsia" w:ascii="宋体" w:hAnsi="宋体"/>
          <w:sz w:val="24"/>
          <w:szCs w:val="24"/>
          <w:lang w:val="zh-CN"/>
        </w:rPr>
      </w:pPr>
    </w:p>
    <w:p w14:paraId="4CCC95FA">
      <w:pPr>
        <w:spacing w:before="100" w:beforeLines="0" w:after="100" w:afterLines="0"/>
        <w:jc w:val="center"/>
        <w:rPr>
          <w:rFonts w:hint="eastAsia" w:ascii="宋体" w:hAnsi="宋体"/>
          <w:sz w:val="24"/>
          <w:szCs w:val="24"/>
          <w:lang w:val="zh-CN"/>
        </w:rPr>
      </w:pPr>
    </w:p>
    <w:p w14:paraId="06E3BA96">
      <w:pPr>
        <w:spacing w:before="100" w:beforeLines="0" w:after="100" w:afterLines="0"/>
        <w:jc w:val="center"/>
        <w:rPr>
          <w:rFonts w:hint="eastAsia" w:ascii="宋体" w:hAnsi="宋体"/>
          <w:sz w:val="24"/>
          <w:szCs w:val="24"/>
          <w:lang w:val="zh-CN"/>
        </w:rPr>
      </w:pPr>
      <w:bookmarkStart w:id="0" w:name="_GoBack"/>
      <w:bookmarkEnd w:id="0"/>
    </w:p>
    <w:p w14:paraId="5DFFCF3F">
      <w:pPr>
        <w:spacing w:before="100" w:beforeLines="0" w:after="100" w:afterLines="0"/>
        <w:jc w:val="center"/>
        <w:rPr>
          <w:rFonts w:hint="eastAsia" w:ascii="宋体" w:hAnsi="宋体"/>
          <w:sz w:val="24"/>
          <w:szCs w:val="24"/>
          <w:lang w:val="zh-CN"/>
        </w:rPr>
      </w:pPr>
    </w:p>
    <w:p w14:paraId="7479BDD5">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第一部分部门概况</w:t>
      </w:r>
    </w:p>
    <w:p w14:paraId="44820649">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050F1DB7">
      <w:pPr>
        <w:spacing w:before="100" w:beforeLines="0" w:after="100" w:afterLines="0"/>
        <w:ind w:firstLine="480" w:firstLineChars="200"/>
        <w:jc w:val="left"/>
        <w:rPr>
          <w:rFonts w:hint="default" w:ascii="宋体" w:hAnsi="宋体" w:eastAsia="宋体"/>
          <w:color w:val="auto"/>
          <w:sz w:val="24"/>
          <w:szCs w:val="24"/>
          <w:lang w:val="en-US" w:eastAsia="zh-CN"/>
        </w:rPr>
      </w:pPr>
      <w:r>
        <w:rPr>
          <w:rFonts w:hint="eastAsia" w:ascii="宋体" w:hAnsi="宋体"/>
          <w:color w:val="auto"/>
          <w:sz w:val="24"/>
          <w:szCs w:val="24"/>
          <w:lang w:val="zh-CN"/>
        </w:rPr>
        <w:t>东乡县北岭学区属财政全额拨款事业单位，负责东乡县北岭乡适龄生义务教育和</w:t>
      </w:r>
      <w:r>
        <w:rPr>
          <w:rFonts w:hint="eastAsia" w:ascii="宋体" w:hAnsi="宋体"/>
          <w:color w:val="auto"/>
          <w:sz w:val="24"/>
          <w:szCs w:val="24"/>
          <w:lang w:val="en-US" w:eastAsia="zh-CN"/>
        </w:rPr>
        <w:t>3-5岁儿童幼儿教育。</w:t>
      </w:r>
    </w:p>
    <w:p w14:paraId="0251E0D0">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二、机构设置</w:t>
      </w:r>
    </w:p>
    <w:p w14:paraId="27675C30">
      <w:pPr>
        <w:spacing w:before="100" w:beforeLines="0" w:after="100" w:afterLines="0"/>
        <w:jc w:val="both"/>
        <w:rPr>
          <w:rFonts w:hint="default" w:ascii="宋体" w:hAnsi="宋体" w:eastAsia="宋体"/>
          <w:color w:val="auto"/>
          <w:sz w:val="24"/>
          <w:szCs w:val="24"/>
          <w:lang w:val="en-US" w:eastAsia="zh-CN"/>
        </w:rPr>
      </w:pPr>
      <w:r>
        <w:rPr>
          <w:rFonts w:hint="eastAsia" w:ascii="宋体" w:hAnsi="宋体"/>
          <w:color w:val="auto"/>
          <w:sz w:val="24"/>
          <w:szCs w:val="24"/>
          <w:lang w:val="zh-CN"/>
        </w:rPr>
        <w:t>北岭学区现有编制</w:t>
      </w:r>
      <w:r>
        <w:rPr>
          <w:rFonts w:hint="eastAsia" w:ascii="宋体" w:hAnsi="宋体"/>
          <w:color w:val="auto"/>
          <w:sz w:val="24"/>
          <w:szCs w:val="24"/>
          <w:lang w:val="en-US" w:eastAsia="zh-CN"/>
        </w:rPr>
        <w:t>31人，均为事业编，实有人数61人，其中事业人员38人，同工同酬4人，特岗教师12人，临聘人员7人。</w:t>
      </w:r>
    </w:p>
    <w:p w14:paraId="5F303444">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第二部分2023年度部门决算表</w:t>
      </w:r>
    </w:p>
    <w:p w14:paraId="6AEB3B4A">
      <w:pPr>
        <w:numPr>
          <w:ilvl w:val="0"/>
          <w:numId w:val="1"/>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收入支出决算总表</w:t>
      </w:r>
    </w:p>
    <w:p w14:paraId="3B50BBF3">
      <w:pPr>
        <w:numPr>
          <w:numId w:val="0"/>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1320" cy="4282440"/>
            <wp:effectExtent l="0" t="0" r="5080" b="3810"/>
            <wp:docPr id="1" name="图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
                    <pic:cNvPicPr>
                      <a:picLocks noChangeAspect="1"/>
                    </pic:cNvPicPr>
                  </pic:nvPicPr>
                  <pic:blipFill>
                    <a:blip r:embed="rId4"/>
                    <a:stretch>
                      <a:fillRect/>
                    </a:stretch>
                  </pic:blipFill>
                  <pic:spPr>
                    <a:xfrm>
                      <a:off x="0" y="0"/>
                      <a:ext cx="5481320" cy="4282440"/>
                    </a:xfrm>
                    <a:prstGeom prst="rect">
                      <a:avLst/>
                    </a:prstGeom>
                  </pic:spPr>
                </pic:pic>
              </a:graphicData>
            </a:graphic>
          </wp:inline>
        </w:drawing>
      </w:r>
    </w:p>
    <w:p w14:paraId="0DB9AF03">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收入决算表</w:t>
      </w:r>
    </w:p>
    <w:p w14:paraId="55DC3296">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5130" cy="2051685"/>
            <wp:effectExtent l="0" t="0" r="1270" b="5715"/>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5"/>
                    <a:stretch>
                      <a:fillRect/>
                    </a:stretch>
                  </pic:blipFill>
                  <pic:spPr>
                    <a:xfrm>
                      <a:off x="0" y="0"/>
                      <a:ext cx="5485130" cy="2051685"/>
                    </a:xfrm>
                    <a:prstGeom prst="rect">
                      <a:avLst/>
                    </a:prstGeom>
                  </pic:spPr>
                </pic:pic>
              </a:graphicData>
            </a:graphic>
          </wp:inline>
        </w:drawing>
      </w:r>
    </w:p>
    <w:p w14:paraId="03F83171">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支出决算表</w:t>
      </w:r>
    </w:p>
    <w:p w14:paraId="0AC3CB44">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0050" cy="1997710"/>
            <wp:effectExtent l="0" t="0" r="6350" b="2540"/>
            <wp:docPr id="3" name="图片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3"/>
                    <pic:cNvPicPr>
                      <a:picLocks noChangeAspect="1"/>
                    </pic:cNvPicPr>
                  </pic:nvPicPr>
                  <pic:blipFill>
                    <a:blip r:embed="rId6"/>
                    <a:stretch>
                      <a:fillRect/>
                    </a:stretch>
                  </pic:blipFill>
                  <pic:spPr>
                    <a:xfrm>
                      <a:off x="0" y="0"/>
                      <a:ext cx="5480050" cy="1997710"/>
                    </a:xfrm>
                    <a:prstGeom prst="rect">
                      <a:avLst/>
                    </a:prstGeom>
                  </pic:spPr>
                </pic:pic>
              </a:graphicData>
            </a:graphic>
          </wp:inline>
        </w:drawing>
      </w:r>
    </w:p>
    <w:p w14:paraId="5D5C73F0">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财政拨款收入支出决算总表</w:t>
      </w:r>
    </w:p>
    <w:p w14:paraId="7EA20C1E">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5130" cy="3963035"/>
            <wp:effectExtent l="0" t="0" r="1270" b="18415"/>
            <wp:docPr id="4" name="图片 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
                    <pic:cNvPicPr>
                      <a:picLocks noChangeAspect="1"/>
                    </pic:cNvPicPr>
                  </pic:nvPicPr>
                  <pic:blipFill>
                    <a:blip r:embed="rId7"/>
                    <a:stretch>
                      <a:fillRect/>
                    </a:stretch>
                  </pic:blipFill>
                  <pic:spPr>
                    <a:xfrm>
                      <a:off x="0" y="0"/>
                      <a:ext cx="5485130" cy="3963035"/>
                    </a:xfrm>
                    <a:prstGeom prst="rect">
                      <a:avLst/>
                    </a:prstGeom>
                  </pic:spPr>
                </pic:pic>
              </a:graphicData>
            </a:graphic>
          </wp:inline>
        </w:drawing>
      </w:r>
    </w:p>
    <w:p w14:paraId="6D111F3F">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一般公共预算财政拨款支出决算表</w:t>
      </w:r>
    </w:p>
    <w:p w14:paraId="0EDE05E1">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2590" cy="2548255"/>
            <wp:effectExtent l="0" t="0" r="3810" b="4445"/>
            <wp:docPr id="5" name="图片 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5"/>
                    <pic:cNvPicPr>
                      <a:picLocks noChangeAspect="1"/>
                    </pic:cNvPicPr>
                  </pic:nvPicPr>
                  <pic:blipFill>
                    <a:blip r:embed="rId8"/>
                    <a:stretch>
                      <a:fillRect/>
                    </a:stretch>
                  </pic:blipFill>
                  <pic:spPr>
                    <a:xfrm>
                      <a:off x="0" y="0"/>
                      <a:ext cx="5482590" cy="2548255"/>
                    </a:xfrm>
                    <a:prstGeom prst="rect">
                      <a:avLst/>
                    </a:prstGeom>
                  </pic:spPr>
                </pic:pic>
              </a:graphicData>
            </a:graphic>
          </wp:inline>
        </w:drawing>
      </w:r>
    </w:p>
    <w:p w14:paraId="0A4DD190">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一般公共预算财政拨款基本支出决算明细表</w:t>
      </w:r>
    </w:p>
    <w:p w14:paraId="333C7E46">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3860" cy="2986405"/>
            <wp:effectExtent l="0" t="0" r="2540" b="4445"/>
            <wp:docPr id="6" name="图片 6"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6"/>
                    <pic:cNvPicPr>
                      <a:picLocks noChangeAspect="1"/>
                    </pic:cNvPicPr>
                  </pic:nvPicPr>
                  <pic:blipFill>
                    <a:blip r:embed="rId9"/>
                    <a:stretch>
                      <a:fillRect/>
                    </a:stretch>
                  </pic:blipFill>
                  <pic:spPr>
                    <a:xfrm>
                      <a:off x="0" y="0"/>
                      <a:ext cx="5483860" cy="2986405"/>
                    </a:xfrm>
                    <a:prstGeom prst="rect">
                      <a:avLst/>
                    </a:prstGeom>
                  </pic:spPr>
                </pic:pic>
              </a:graphicData>
            </a:graphic>
          </wp:inline>
        </w:drawing>
      </w:r>
    </w:p>
    <w:p w14:paraId="447897A7">
      <w:pPr>
        <w:numPr>
          <w:ilvl w:val="0"/>
          <w:numId w:val="1"/>
        </w:numPr>
        <w:spacing w:before="100" w:beforeLines="0" w:after="100" w:afterLines="0"/>
        <w:ind w:left="0" w:leftChars="0" w:firstLine="0" w:firstLineChars="0"/>
        <w:jc w:val="left"/>
        <w:rPr>
          <w:rFonts w:hint="eastAsia" w:ascii="宋体" w:hAnsi="宋体"/>
          <w:color w:val="auto"/>
          <w:sz w:val="24"/>
          <w:szCs w:val="24"/>
          <w:lang w:val="zh-CN"/>
        </w:rPr>
      </w:pPr>
      <w:r>
        <w:rPr>
          <w:rFonts w:hint="eastAsia" w:ascii="宋体" w:hAnsi="宋体"/>
          <w:color w:val="auto"/>
          <w:sz w:val="24"/>
          <w:szCs w:val="24"/>
          <w:lang w:val="zh-CN"/>
        </w:rPr>
        <w:t>政府性基金预算财政拨款收入支出决算表</w:t>
      </w:r>
    </w:p>
    <w:p w14:paraId="5E7CDF1E">
      <w:pPr>
        <w:numPr>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79415" cy="998855"/>
            <wp:effectExtent l="0" t="0" r="6985" b="10795"/>
            <wp:docPr id="7" name="图片 7"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7"/>
                    <pic:cNvPicPr>
                      <a:picLocks noChangeAspect="1"/>
                    </pic:cNvPicPr>
                  </pic:nvPicPr>
                  <pic:blipFill>
                    <a:blip r:embed="rId10"/>
                    <a:stretch>
                      <a:fillRect/>
                    </a:stretch>
                  </pic:blipFill>
                  <pic:spPr>
                    <a:xfrm>
                      <a:off x="0" y="0"/>
                      <a:ext cx="5479415" cy="998855"/>
                    </a:xfrm>
                    <a:prstGeom prst="rect">
                      <a:avLst/>
                    </a:prstGeom>
                  </pic:spPr>
                </pic:pic>
              </a:graphicData>
            </a:graphic>
          </wp:inline>
        </w:drawing>
      </w:r>
    </w:p>
    <w:p w14:paraId="2D9E02BE">
      <w:pPr>
        <w:spacing w:before="100" w:beforeLines="0" w:after="100" w:afterLines="0"/>
        <w:jc w:val="left"/>
        <w:rPr>
          <w:rFonts w:hint="default" w:ascii="宋体" w:hAnsi="宋体" w:eastAsia="宋体"/>
          <w:color w:val="auto"/>
          <w:sz w:val="24"/>
          <w:szCs w:val="24"/>
          <w:lang w:val="en-US" w:eastAsia="zh-CN"/>
        </w:rPr>
      </w:pPr>
      <w:r>
        <w:rPr>
          <w:rFonts w:hint="eastAsia" w:ascii="宋体" w:hAnsi="宋体"/>
          <w:color w:val="auto"/>
          <w:sz w:val="24"/>
          <w:szCs w:val="24"/>
          <w:lang w:val="zh-CN"/>
        </w:rPr>
        <w:t>八、国有资本经营预算财政拨款支出决算表</w:t>
      </w:r>
      <w:r>
        <w:rPr>
          <w:rFonts w:hint="eastAsia" w:ascii="宋体" w:hAnsi="宋体"/>
          <w:color w:val="auto"/>
          <w:sz w:val="24"/>
          <w:szCs w:val="24"/>
          <w:lang w:val="en-US" w:eastAsia="zh-CN"/>
        </w:rPr>
        <w:t>(</w:t>
      </w:r>
      <w:r>
        <w:rPr>
          <w:rFonts w:hint="eastAsia" w:ascii="宋体" w:hAnsi="宋体"/>
          <w:color w:val="auto"/>
          <w:sz w:val="24"/>
          <w:szCs w:val="24"/>
          <w:lang w:val="zh-CN"/>
        </w:rPr>
        <w:t>本部门没有相关数据,故本表无数据</w:t>
      </w:r>
      <w:r>
        <w:rPr>
          <w:rFonts w:hint="eastAsia" w:ascii="宋体" w:hAnsi="宋体"/>
          <w:color w:val="auto"/>
          <w:sz w:val="24"/>
          <w:szCs w:val="24"/>
          <w:lang w:val="en-US" w:eastAsia="zh-CN"/>
        </w:rPr>
        <w:t>)</w:t>
      </w:r>
    </w:p>
    <w:p w14:paraId="67DEB64B">
      <w:pPr>
        <w:spacing w:before="100" w:beforeLines="0" w:after="100" w:afterLines="0"/>
        <w:jc w:val="left"/>
        <w:rPr>
          <w:rFonts w:hint="default" w:ascii="宋体" w:hAnsi="宋体" w:eastAsia="宋体"/>
          <w:color w:val="auto"/>
          <w:sz w:val="24"/>
          <w:szCs w:val="24"/>
          <w:lang w:val="en-US" w:eastAsia="zh-CN"/>
        </w:rPr>
      </w:pPr>
      <w:r>
        <w:rPr>
          <w:rFonts w:hint="eastAsia" w:ascii="宋体" w:hAnsi="宋体"/>
          <w:color w:val="auto"/>
          <w:sz w:val="24"/>
          <w:szCs w:val="24"/>
          <w:lang w:val="zh-CN"/>
        </w:rPr>
        <w:t>九、财政拨款</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经费支出决算表</w:t>
      </w:r>
      <w:r>
        <w:rPr>
          <w:rFonts w:hint="eastAsia" w:ascii="宋体" w:hAnsi="宋体"/>
          <w:color w:val="auto"/>
          <w:sz w:val="24"/>
          <w:szCs w:val="24"/>
          <w:lang w:val="en-US" w:eastAsia="zh-CN"/>
        </w:rPr>
        <w:t>(</w:t>
      </w:r>
      <w:r>
        <w:rPr>
          <w:rFonts w:hint="eastAsia" w:ascii="宋体" w:hAnsi="宋体"/>
          <w:color w:val="auto"/>
          <w:sz w:val="24"/>
          <w:szCs w:val="24"/>
          <w:lang w:val="zh-CN"/>
        </w:rPr>
        <w:t>本部门没有相关数据,故本表无数据</w:t>
      </w:r>
      <w:r>
        <w:rPr>
          <w:rFonts w:hint="eastAsia" w:ascii="宋体" w:hAnsi="宋体"/>
          <w:color w:val="auto"/>
          <w:sz w:val="24"/>
          <w:szCs w:val="24"/>
          <w:lang w:val="en-US" w:eastAsia="zh-CN"/>
        </w:rPr>
        <w:t>)</w:t>
      </w:r>
    </w:p>
    <w:p w14:paraId="27106F0A">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第三部分2023年度部门决算情况说明</w:t>
      </w:r>
    </w:p>
    <w:p w14:paraId="2C985A92">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一、收入支出决算总体情况说明</w:t>
      </w:r>
    </w:p>
    <w:p w14:paraId="1DF63B76">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2023年度收、支总计</w:t>
      </w:r>
      <w:r>
        <w:rPr>
          <w:rFonts w:hint="eastAsia" w:ascii="宋体" w:hAnsi="宋体"/>
          <w:color w:val="auto"/>
          <w:sz w:val="24"/>
          <w:szCs w:val="24"/>
          <w:lang w:val="en-US"/>
        </w:rPr>
        <w:t>均为</w:t>
      </w:r>
      <w:r>
        <w:rPr>
          <w:rFonts w:hint="eastAsia" w:ascii="宋体" w:hAnsi="宋体"/>
          <w:color w:val="auto"/>
          <w:sz w:val="24"/>
          <w:szCs w:val="24"/>
          <w:lang w:val="zh-CN"/>
        </w:rPr>
        <w:t>751.72万元。</w:t>
      </w:r>
      <w:r>
        <w:rPr>
          <w:rFonts w:hint="eastAsia" w:ascii="宋体" w:hAnsi="宋体"/>
          <w:color w:val="auto"/>
          <w:sz w:val="24"/>
          <w:szCs w:val="24"/>
          <w:lang w:val="en-US"/>
        </w:rPr>
        <w:t>与上年度相比,</w:t>
      </w:r>
      <w:r>
        <w:rPr>
          <w:rFonts w:hint="eastAsia" w:ascii="宋体" w:hAnsi="宋体"/>
          <w:color w:val="auto"/>
          <w:sz w:val="24"/>
          <w:szCs w:val="24"/>
          <w:lang w:val="zh-CN"/>
        </w:rPr>
        <w:t>收、支</w:t>
      </w:r>
      <w:r>
        <w:rPr>
          <w:rFonts w:hint="eastAsia" w:ascii="宋体" w:hAnsi="宋体"/>
          <w:color w:val="auto"/>
          <w:sz w:val="24"/>
          <w:szCs w:val="24"/>
          <w:lang w:val="en-US"/>
        </w:rPr>
        <w:t>总计各</w:t>
      </w:r>
      <w:r>
        <w:rPr>
          <w:rFonts w:hint="eastAsia" w:ascii="宋体" w:hAnsi="宋体"/>
          <w:color w:val="auto"/>
          <w:sz w:val="24"/>
          <w:szCs w:val="24"/>
          <w:lang w:val="zh-CN"/>
        </w:rPr>
        <w:t>减少21.25万元,下降2.75%,主要原因是学生数减少，收支减少。</w:t>
      </w:r>
    </w:p>
    <w:p w14:paraId="3D5458A7">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二、收入决算情况说明</w:t>
      </w:r>
    </w:p>
    <w:p w14:paraId="3F54AF53">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2023年度收入合计743.64万元,其中：财政拨款收入743.64万元,占100.00%；</w:t>
      </w:r>
    </w:p>
    <w:p w14:paraId="46A8EB4B">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三、支出决算情况说明</w:t>
      </w:r>
    </w:p>
    <w:p w14:paraId="69C099EA">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2023年度支出合计743.64万元,其中：基本支出496.57万元,占66.78%；项目支出247.06万元,占33.22%；</w:t>
      </w:r>
    </w:p>
    <w:p w14:paraId="0B371928">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四、财政拨款收入支出决算总体情况说明</w:t>
      </w:r>
    </w:p>
    <w:p w14:paraId="2D61EAB7">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2023年度财政拨款收、支总计</w:t>
      </w:r>
      <w:r>
        <w:rPr>
          <w:rFonts w:hint="eastAsia" w:ascii="宋体" w:hAnsi="宋体"/>
          <w:color w:val="auto"/>
          <w:sz w:val="24"/>
          <w:szCs w:val="24"/>
          <w:lang w:val="en-US"/>
        </w:rPr>
        <w:t>均为</w:t>
      </w:r>
      <w:r>
        <w:rPr>
          <w:rFonts w:hint="eastAsia" w:ascii="宋体" w:hAnsi="宋体"/>
          <w:color w:val="auto"/>
          <w:sz w:val="24"/>
          <w:szCs w:val="24"/>
          <w:lang w:val="zh-CN"/>
        </w:rPr>
        <w:t>751.72万元。与</w:t>
      </w:r>
      <w:r>
        <w:rPr>
          <w:rFonts w:hint="eastAsia" w:ascii="宋体" w:hAnsi="宋体"/>
          <w:color w:val="auto"/>
          <w:sz w:val="24"/>
          <w:szCs w:val="24"/>
          <w:lang w:val="en-US"/>
        </w:rPr>
        <w:t>上</w:t>
      </w:r>
      <w:r>
        <w:rPr>
          <w:rFonts w:hint="eastAsia" w:ascii="宋体" w:hAnsi="宋体"/>
          <w:color w:val="auto"/>
          <w:sz w:val="24"/>
          <w:szCs w:val="24"/>
          <w:lang w:val="zh-CN"/>
        </w:rPr>
        <w:t>年相比,各减少21.25万元,下降2.75%。主要原因是学生数减少，收支减少。</w:t>
      </w:r>
    </w:p>
    <w:p w14:paraId="736B7842">
      <w:pPr>
        <w:spacing w:before="100" w:beforeLines="0" w:after="100" w:afterLines="0"/>
        <w:jc w:val="left"/>
        <w:rPr>
          <w:rFonts w:hint="eastAsia" w:ascii="宋体" w:hAnsi="宋体"/>
          <w:color w:val="auto"/>
          <w:sz w:val="24"/>
          <w:szCs w:val="24"/>
          <w:lang w:val="zh-CN"/>
        </w:rPr>
      </w:pPr>
    </w:p>
    <w:p w14:paraId="49FF161B">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五、一般公共预算财政拨款支出决算情况说明</w:t>
      </w:r>
    </w:p>
    <w:p w14:paraId="77CD8912">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（一）一般公共预算财政拨款支出决算总体情况</w:t>
      </w:r>
    </w:p>
    <w:p w14:paraId="216A2CC6">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2023年度一般公共预算财政拨款支出742.64万元,较上年决算数减少20.32万元,下降2.66%。主要原因是学生数减少，收支减少。</w:t>
      </w:r>
    </w:p>
    <w:p w14:paraId="1EBD0589">
      <w:pPr>
        <w:numPr>
          <w:ilvl w:val="0"/>
          <w:numId w:val="2"/>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一般公共预算财政拨款支出决算结构情况</w:t>
      </w:r>
    </w:p>
    <w:p w14:paraId="438FF5DD">
      <w:pPr>
        <w:numPr>
          <w:ilvl w:val="0"/>
          <w:numId w:val="0"/>
        </w:numPr>
        <w:spacing w:before="100" w:beforeLines="0" w:after="100" w:afterLines="0"/>
        <w:jc w:val="left"/>
        <w:rPr>
          <w:rFonts w:hint="eastAsia" w:ascii="宋体" w:hAnsi="宋体"/>
          <w:color w:val="FF0000"/>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w:t>
      </w:r>
      <w:r>
        <w:rPr>
          <w:rFonts w:hint="eastAsia" w:ascii="宋体" w:hAnsi="宋体"/>
          <w:color w:val="auto"/>
          <w:sz w:val="24"/>
          <w:szCs w:val="24"/>
          <w:lang w:val="zh-CN"/>
        </w:rPr>
        <w:t>742.64万元，主要用于以下方面：一般公共服务支出3.03万元,占0.41%；教育支出628.47万元,占84.63%；社会保障和就业支出56.39万元,占7.59%；卫生健康支出19.18万元,占2.58%；住房保障支出35.57万元,占4.79%；</w:t>
      </w:r>
    </w:p>
    <w:p w14:paraId="6111B143">
      <w:pPr>
        <w:numPr>
          <w:ilvl w:val="0"/>
          <w:numId w:val="2"/>
        </w:numPr>
        <w:spacing w:before="100" w:beforeLines="0" w:after="100" w:afterLines="0"/>
        <w:ind w:left="0" w:leftChars="0" w:firstLine="0" w:firstLine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一般公共预算财政拨款支出决算具体情况。</w:t>
      </w:r>
    </w:p>
    <w:p w14:paraId="29C5E1FF">
      <w:pPr>
        <w:numPr>
          <w:ilvl w:val="0"/>
          <w:numId w:val="0"/>
        </w:numPr>
        <w:spacing w:before="100" w:beforeLines="0" w:after="100" w:afterLines="0"/>
        <w:ind w:leftChars="0"/>
        <w:jc w:val="left"/>
        <w:rPr>
          <w:rFonts w:hint="eastAsia" w:ascii="宋体" w:hAnsi="宋体"/>
          <w:color w:val="auto"/>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2023年度一般公共预算财政拨款支出年初预算为</w:t>
      </w:r>
      <w:r>
        <w:rPr>
          <w:rFonts w:hint="eastAsia" w:ascii="宋体" w:hAnsi="宋体"/>
          <w:color w:val="auto"/>
          <w:sz w:val="24"/>
          <w:szCs w:val="24"/>
          <w:lang w:val="zh-CN"/>
        </w:rPr>
        <w:t>524.21万元,支出决算为742.64万元,完成年初预算的141.67%。其中：</w:t>
      </w:r>
    </w:p>
    <w:p w14:paraId="23B2963D">
      <w:pPr>
        <w:numPr>
          <w:numId w:val="0"/>
        </w:num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en-US" w:eastAsia="zh-CN"/>
        </w:rPr>
        <w:t>1.</w:t>
      </w:r>
      <w:r>
        <w:rPr>
          <w:rFonts w:hint="eastAsia" w:ascii="宋体" w:hAnsi="宋体"/>
          <w:b/>
          <w:color w:val="auto"/>
          <w:sz w:val="24"/>
          <w:szCs w:val="24"/>
          <w:lang w:val="zh-CN"/>
        </w:rPr>
        <w:t>一般公共服务支出</w:t>
      </w:r>
      <w:r>
        <w:rPr>
          <w:rFonts w:hint="eastAsia" w:ascii="宋体" w:hAnsi="宋体"/>
          <w:color w:val="auto"/>
          <w:sz w:val="24"/>
          <w:szCs w:val="24"/>
          <w:lang w:val="zh-CN"/>
        </w:rPr>
        <w:t>年初预算数为5.34万元,支出决算为3.03万元,完成年初预算的56.74%,决算数小于预算数的主要原因是部分预算支出未支出。</w:t>
      </w:r>
    </w:p>
    <w:p w14:paraId="0130B9F8">
      <w:pPr>
        <w:spacing w:before="100" w:beforeLines="0" w:after="100" w:afterLines="0"/>
        <w:jc w:val="left"/>
        <w:rPr>
          <w:rFonts w:hint="eastAsia" w:ascii="宋体" w:hAnsi="宋体"/>
          <w:color w:val="auto"/>
          <w:sz w:val="24"/>
          <w:szCs w:val="24"/>
          <w:lang w:val="zh-CN"/>
        </w:rPr>
      </w:pPr>
      <w:r>
        <w:rPr>
          <w:rFonts w:hint="eastAsia" w:ascii="Times New Roman" w:hAnsi="Times New Roman" w:eastAsia="宋体"/>
          <w:b/>
          <w:color w:val="auto"/>
          <w:sz w:val="24"/>
          <w:szCs w:val="24"/>
          <w:lang w:val="en-US" w:eastAsia="zh-CN"/>
        </w:rPr>
        <w:t>2</w:t>
      </w:r>
      <w:r>
        <w:rPr>
          <w:rFonts w:hint="eastAsia" w:ascii="宋体" w:hAnsi="宋体"/>
          <w:b/>
          <w:color w:val="auto"/>
          <w:sz w:val="24"/>
          <w:szCs w:val="24"/>
          <w:lang w:val="zh-CN"/>
        </w:rPr>
        <w:t>．教育支出</w:t>
      </w:r>
      <w:r>
        <w:rPr>
          <w:rFonts w:hint="eastAsia" w:ascii="宋体" w:hAnsi="宋体"/>
          <w:color w:val="auto"/>
          <w:sz w:val="24"/>
          <w:szCs w:val="24"/>
          <w:lang w:val="zh-CN"/>
        </w:rPr>
        <w:t>年初预算数为410.44万元,支出决算为628.47万元,完成年初预算的153.12%,决算数大于预算数的主要原因是上年度未支出部分本年进行了支出。</w:t>
      </w:r>
    </w:p>
    <w:p w14:paraId="4E319CD3">
      <w:pPr>
        <w:spacing w:before="100" w:beforeLines="0" w:after="100" w:afterLines="0"/>
        <w:jc w:val="left"/>
        <w:rPr>
          <w:rFonts w:hint="eastAsia" w:ascii="宋体" w:hAnsi="宋体"/>
          <w:color w:val="FF0000"/>
          <w:sz w:val="24"/>
          <w:szCs w:val="24"/>
          <w:lang w:val="zh-CN"/>
        </w:rPr>
      </w:pPr>
      <w:r>
        <w:rPr>
          <w:rFonts w:hint="eastAsia" w:ascii="Times New Roman" w:hAnsi="Times New Roman" w:eastAsia="宋体"/>
          <w:b/>
          <w:color w:val="auto"/>
          <w:sz w:val="24"/>
          <w:szCs w:val="24"/>
          <w:lang w:val="en-US" w:eastAsia="zh-CN"/>
        </w:rPr>
        <w:t>3</w:t>
      </w:r>
      <w:r>
        <w:rPr>
          <w:rFonts w:hint="eastAsia" w:ascii="宋体" w:hAnsi="宋体"/>
          <w:b/>
          <w:color w:val="auto"/>
          <w:sz w:val="24"/>
          <w:szCs w:val="24"/>
          <w:lang w:val="zh-CN"/>
        </w:rPr>
        <w:t>．社会保障和就业支出</w:t>
      </w:r>
      <w:r>
        <w:rPr>
          <w:rFonts w:hint="eastAsia" w:ascii="宋体" w:hAnsi="宋体"/>
          <w:color w:val="auto"/>
          <w:sz w:val="24"/>
          <w:szCs w:val="24"/>
          <w:lang w:val="zh-CN"/>
        </w:rPr>
        <w:t>年初预算数为54.85万元,支出决算为56.39万元,完成年初预算的102.81%,决算数大于预算数的主要原因是教师有所变动。</w:t>
      </w:r>
    </w:p>
    <w:p w14:paraId="61F9940F">
      <w:pPr>
        <w:spacing w:before="100" w:beforeLines="0" w:after="100" w:afterLines="0"/>
        <w:jc w:val="left"/>
        <w:rPr>
          <w:rFonts w:hint="eastAsia" w:ascii="宋体" w:hAnsi="宋体"/>
          <w:color w:val="FF0000"/>
          <w:sz w:val="24"/>
          <w:szCs w:val="24"/>
          <w:lang w:val="zh-CN"/>
        </w:rPr>
      </w:pPr>
      <w:r>
        <w:rPr>
          <w:rFonts w:hint="eastAsia" w:ascii="Times New Roman" w:hAnsi="Times New Roman" w:eastAsia="宋体"/>
          <w:b/>
          <w:color w:val="auto"/>
          <w:sz w:val="24"/>
          <w:szCs w:val="24"/>
          <w:lang w:val="en-US" w:eastAsia="zh-CN"/>
        </w:rPr>
        <w:t>4</w:t>
      </w:r>
      <w:r>
        <w:rPr>
          <w:rFonts w:hint="eastAsia" w:ascii="宋体" w:hAnsi="宋体"/>
          <w:b/>
          <w:color w:val="auto"/>
          <w:sz w:val="24"/>
          <w:szCs w:val="24"/>
          <w:lang w:val="zh-CN"/>
        </w:rPr>
        <w:t>．卫生健康支出</w:t>
      </w:r>
      <w:r>
        <w:rPr>
          <w:rFonts w:hint="eastAsia" w:ascii="宋体" w:hAnsi="宋体"/>
          <w:color w:val="auto"/>
          <w:sz w:val="24"/>
          <w:szCs w:val="24"/>
          <w:lang w:val="zh-CN"/>
        </w:rPr>
        <w:t>年初预算数为21.10万元,支出决算为19.18万元,完成年初预算的90.9%,决算数小于预算数的主要原因是部分教师医疗未支出。</w:t>
      </w:r>
    </w:p>
    <w:p w14:paraId="4635AE57">
      <w:pPr>
        <w:spacing w:before="100" w:beforeLines="0" w:after="100" w:afterLines="0"/>
        <w:jc w:val="left"/>
        <w:rPr>
          <w:rFonts w:hint="eastAsia" w:ascii="宋体" w:hAnsi="宋体"/>
          <w:color w:val="FF0000"/>
          <w:sz w:val="24"/>
          <w:szCs w:val="24"/>
          <w:lang w:val="zh-CN"/>
        </w:rPr>
      </w:pPr>
      <w:r>
        <w:rPr>
          <w:rFonts w:hint="eastAsia" w:ascii="Times New Roman" w:hAnsi="Times New Roman" w:eastAsia="宋体"/>
          <w:b/>
          <w:color w:val="auto"/>
          <w:sz w:val="24"/>
          <w:szCs w:val="24"/>
          <w:lang w:val="en-US" w:eastAsia="zh-CN"/>
        </w:rPr>
        <w:t>5</w:t>
      </w:r>
      <w:r>
        <w:rPr>
          <w:rFonts w:hint="eastAsia" w:ascii="宋体" w:hAnsi="宋体"/>
          <w:b/>
          <w:color w:val="auto"/>
          <w:sz w:val="24"/>
          <w:szCs w:val="24"/>
          <w:lang w:val="zh-CN"/>
        </w:rPr>
        <w:t>．住房保障支出</w:t>
      </w:r>
      <w:r>
        <w:rPr>
          <w:rFonts w:hint="eastAsia" w:ascii="宋体" w:hAnsi="宋体"/>
          <w:color w:val="auto"/>
          <w:sz w:val="24"/>
          <w:szCs w:val="24"/>
          <w:lang w:val="zh-CN"/>
        </w:rPr>
        <w:t>年初预算数为32.49万元,支出决算为35.57万元,完成年初预算的109.47%,决算数大于预算数的教师有所变动。</w:t>
      </w:r>
    </w:p>
    <w:p w14:paraId="2D97AC38">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六、一般公共预算财政拨款基本支出决算情况说明</w:t>
      </w:r>
    </w:p>
    <w:p w14:paraId="1CF8429F">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2023年度一般公共预算财政拨款基本支出496.57万元。其中：</w:t>
      </w:r>
    </w:p>
    <w:p w14:paraId="6366BDA7">
      <w:pPr>
        <w:spacing w:before="100" w:beforeLines="0" w:after="100" w:afterLines="0"/>
        <w:jc w:val="left"/>
        <w:rPr>
          <w:rFonts w:hint="default" w:ascii="宋体" w:hAnsi="宋体" w:eastAsia="宋体"/>
          <w:color w:val="auto"/>
          <w:sz w:val="24"/>
          <w:szCs w:val="24"/>
          <w:lang w:val="en-US" w:eastAsia="zh-CN"/>
        </w:rPr>
      </w:pPr>
      <w:r>
        <w:rPr>
          <w:rFonts w:hint="eastAsia" w:ascii="宋体" w:hAnsi="宋体"/>
          <w:b/>
          <w:color w:val="auto"/>
          <w:sz w:val="24"/>
          <w:szCs w:val="24"/>
          <w:lang w:val="zh-CN"/>
        </w:rPr>
        <w:t>人员经费</w:t>
      </w:r>
      <w:r>
        <w:rPr>
          <w:rFonts w:hint="eastAsia" w:ascii="宋体" w:hAnsi="宋体"/>
          <w:color w:val="auto"/>
          <w:sz w:val="24"/>
          <w:szCs w:val="24"/>
          <w:lang w:val="zh-CN"/>
        </w:rPr>
        <w:t>493.28万元,较上年决算数减少178.07万元,下降26.52%,主要原因是上年度补贴类人员经费较多。人员经费用途主要包括基本工资：1579453.68元，津贴补贴：1743226.89元，奖金：582052.29元，机关事业单位基本养老保险缴费：250980.7元， 职工基本医疗保险缴费：185162.6元， 其他社会保障缴费：11546.96元，住房公积金：324934.87元，其他工资福利支出：158551.64元，对个人和家庭的补助：96890元，退休费</w:t>
      </w:r>
      <w:r>
        <w:rPr>
          <w:rFonts w:hint="eastAsia" w:ascii="宋体" w:hAnsi="宋体"/>
          <w:color w:val="auto"/>
          <w:sz w:val="24"/>
          <w:szCs w:val="24"/>
          <w:lang w:val="en-US" w:eastAsia="zh-CN"/>
        </w:rPr>
        <w:t>:35000元,  生活补助:57890元， 奖励金：4000元。</w:t>
      </w:r>
    </w:p>
    <w:p w14:paraId="23E09AB6">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公用经费</w:t>
      </w:r>
      <w:r>
        <w:rPr>
          <w:rFonts w:hint="eastAsia" w:ascii="宋体" w:hAnsi="宋体"/>
          <w:color w:val="auto"/>
          <w:sz w:val="24"/>
          <w:szCs w:val="24"/>
          <w:lang w:val="zh-CN"/>
        </w:rPr>
        <w:t>3.29万元,较上年决算数减少88.32万元,下降96.41%,主要原因是在校学生数减少，经费减少，部分经费未支出。公用经费用途主要包括：商品和服务支出32907.1元，办公费：2634.1元，工会经费：30273元。</w:t>
      </w:r>
    </w:p>
    <w:p w14:paraId="16CC059D">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七、政府性基金预算财政拨款收支决算情况说明</w:t>
      </w:r>
    </w:p>
    <w:p w14:paraId="68373EC2">
      <w:pPr>
        <w:spacing w:before="100" w:beforeLines="0" w:after="100" w:afterLines="0"/>
        <w:jc w:val="left"/>
        <w:rPr>
          <w:rFonts w:hint="eastAsia" w:ascii="宋体" w:hAnsi="宋体"/>
          <w:color w:val="FF0000"/>
          <w:sz w:val="24"/>
          <w:szCs w:val="24"/>
          <w:lang w:val="zh-CN"/>
        </w:rPr>
      </w:pPr>
      <w:r>
        <w:rPr>
          <w:rFonts w:hint="eastAsia" w:ascii="宋体" w:hAnsi="宋体"/>
          <w:color w:val="auto"/>
          <w:sz w:val="24"/>
          <w:szCs w:val="24"/>
          <w:lang w:val="zh-CN"/>
        </w:rPr>
        <w:t>2023年度政府性基金预算财政拨款年初结转和结余0.00万元,本年收入1.00万元,本年支出1.00万元,年末结转和结余0.00</w:t>
      </w:r>
      <w:r>
        <w:rPr>
          <w:rFonts w:hint="eastAsia" w:ascii="宋体" w:hAnsi="宋体"/>
          <w:color w:val="auto"/>
          <w:sz w:val="24"/>
          <w:szCs w:val="24"/>
          <w:lang w:val="en-US" w:eastAsia="zh-CN"/>
        </w:rPr>
        <w:t>万元</w:t>
      </w:r>
      <w:r>
        <w:rPr>
          <w:rFonts w:hint="eastAsia" w:ascii="宋体" w:hAnsi="宋体"/>
          <w:color w:val="auto"/>
          <w:sz w:val="24"/>
          <w:szCs w:val="24"/>
          <w:lang w:val="zh-CN"/>
        </w:rPr>
        <w:t>,支出用于保证乡村学校少年宫活动开展运行。</w:t>
      </w:r>
    </w:p>
    <w:p w14:paraId="4F309625">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八、国有资本经营预算财政拨款支出情况说明</w:t>
      </w:r>
    </w:p>
    <w:p w14:paraId="7BB34AF1">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本部门2023年度没有使用国有资本经营预算安排的支出。</w:t>
      </w:r>
    </w:p>
    <w:p w14:paraId="0FED93ED">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九</w:t>
      </w:r>
      <w:r>
        <w:rPr>
          <w:rFonts w:hint="eastAsia" w:ascii="宋体" w:hAnsi="宋体"/>
          <w:b/>
          <w:bCs/>
          <w:color w:val="auto"/>
          <w:sz w:val="24"/>
          <w:szCs w:val="24"/>
          <w:lang w:val="zh-CN" w:eastAsia="zh-CN"/>
        </w:rPr>
        <w:t>、财政拨款</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三公</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经费支出决算情况说明</w:t>
      </w:r>
    </w:p>
    <w:p w14:paraId="3AE66B70">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我单位属于财政全额拨款事业单位,不涉及</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p>
    <w:p w14:paraId="4893EDAE">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w:t>
      </w:r>
      <w:r>
        <w:rPr>
          <w:rFonts w:hint="eastAsia" w:ascii="宋体" w:hAnsi="宋体"/>
          <w:b/>
          <w:bCs/>
          <w:color w:val="auto"/>
          <w:sz w:val="24"/>
          <w:szCs w:val="24"/>
          <w:lang w:val="zh-CN" w:eastAsia="zh-CN"/>
        </w:rPr>
        <w:t>、机关运行经费支出情况说明</w:t>
      </w:r>
    </w:p>
    <w:p w14:paraId="4BD0108C">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我单位2023年度无机关运行相关经费。</w:t>
      </w:r>
    </w:p>
    <w:p w14:paraId="0FC1F6FA">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十一、政府采购支出情况说明</w:t>
      </w:r>
    </w:p>
    <w:p w14:paraId="7490174D">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我单位2023年度无政府采购相关经费。</w:t>
      </w:r>
    </w:p>
    <w:p w14:paraId="0997B822">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十二</w:t>
      </w:r>
      <w:r>
        <w:rPr>
          <w:rFonts w:hint="eastAsia" w:ascii="宋体" w:hAnsi="宋体"/>
          <w:b/>
          <w:bCs/>
          <w:color w:val="auto"/>
          <w:sz w:val="24"/>
          <w:szCs w:val="24"/>
          <w:lang w:val="zh-CN" w:eastAsia="zh-CN"/>
        </w:rPr>
        <w:t>、国有资产占用情况说明</w:t>
      </w:r>
    </w:p>
    <w:p w14:paraId="5B6DE08E">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截至2023年12月31日,本部门共有车辆0辆,其中,副部(省)级及以上领导用车0辆、主要领导干部用车0辆、机要通信用车0辆、应急保障用车0辆、执法执勤用车0辆,特种专业技术用车0辆,离退休干部用车0辆,其他用车0辆,单价100万元(含)以上设备0台(套)。</w:t>
      </w:r>
    </w:p>
    <w:p w14:paraId="7850F577">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十三、其他需要说明的情况</w:t>
      </w:r>
    </w:p>
    <w:p w14:paraId="261C59F1">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由于决算公开表格中金额数值应当保留两位小数，公开数据为四舍五入计算结果，个别数据合计项与分项之和存在小数点后差额，特此说明。</w:t>
      </w:r>
    </w:p>
    <w:p w14:paraId="66C0AB0B">
      <w:pPr>
        <w:spacing w:before="100" w:beforeLines="0" w:after="100" w:afterLines="0"/>
        <w:jc w:val="left"/>
        <w:rPr>
          <w:rFonts w:hint="eastAsia" w:ascii="宋体" w:hAnsi="宋体"/>
          <w:color w:val="FF0000"/>
          <w:sz w:val="24"/>
          <w:szCs w:val="24"/>
          <w:lang w:val="zh-CN"/>
        </w:rPr>
      </w:pPr>
    </w:p>
    <w:p w14:paraId="106D71C8">
      <w:pPr>
        <w:spacing w:before="100" w:beforeLines="0" w:after="100" w:afterLines="0"/>
        <w:jc w:val="left"/>
        <w:rPr>
          <w:rFonts w:hint="eastAsia" w:ascii="宋体" w:hAnsi="宋体"/>
          <w:color w:val="auto"/>
          <w:sz w:val="24"/>
          <w:szCs w:val="24"/>
          <w:lang w:val="zh-CN"/>
        </w:rPr>
      </w:pPr>
    </w:p>
    <w:p w14:paraId="0489DBE3">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第四部分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预算绩效情况说明</w:t>
      </w:r>
    </w:p>
    <w:p w14:paraId="215AA080">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一、预算绩效管理工作开展情况</w:t>
      </w:r>
    </w:p>
    <w:p w14:paraId="34C03E76">
      <w:pPr>
        <w:keepNext/>
        <w:keepLines/>
        <w:suppressLineNumbers/>
        <w:spacing w:beforeLines="0" w:afterLines="0"/>
        <w:ind w:firstLine="480" w:firstLineChars="200"/>
        <w:jc w:val="both"/>
        <w:rPr>
          <w:rFonts w:hint="eastAsia" w:ascii="仿宋_GB2312" w:hAnsi="仿宋_GB2312" w:eastAsia="仿宋_GB2312" w:cs="仿宋_GB2312"/>
          <w:color w:val="auto"/>
          <w:sz w:val="32"/>
          <w:szCs w:val="32"/>
          <w:lang w:val="zh-CN"/>
        </w:rPr>
      </w:pPr>
      <w:r>
        <w:rPr>
          <w:rFonts w:hint="eastAsia" w:ascii="宋体" w:hAnsi="宋体" w:eastAsia="宋体" w:cs="宋体"/>
          <w:color w:val="auto"/>
          <w:kern w:val="0"/>
          <w:sz w:val="24"/>
          <w:szCs w:val="24"/>
          <w:lang w:val="en-US"/>
        </w:rPr>
        <w:t>根据预算绩效管理要求,本部门对</w:t>
      </w:r>
      <w:r>
        <w:rPr>
          <w:rFonts w:hint="eastAsia" w:ascii="宋体" w:hAnsi="宋体" w:eastAsia="宋体" w:cs="宋体"/>
          <w:color w:val="auto"/>
          <w:kern w:val="0"/>
          <w:sz w:val="24"/>
          <w:szCs w:val="24"/>
          <w:lang w:val="en-US" w:eastAsia="zh-CN"/>
        </w:rPr>
        <w:t>2023</w:t>
      </w:r>
      <w:r>
        <w:rPr>
          <w:rFonts w:hint="eastAsia" w:ascii="宋体" w:hAnsi="宋体" w:eastAsia="宋体" w:cs="宋体"/>
          <w:color w:val="auto"/>
          <w:kern w:val="0"/>
          <w:sz w:val="24"/>
          <w:szCs w:val="24"/>
          <w:lang w:val="en-US"/>
        </w:rPr>
        <w:t>年度一般公共预算项目支出全面开展绩效自评,其中,一级项目</w:t>
      </w: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lang w:val="en-US"/>
        </w:rPr>
        <w:t>个,二级项目</w:t>
      </w:r>
      <w:r>
        <w:rPr>
          <w:rFonts w:hint="eastAsia" w:ascii="宋体" w:hAnsi="宋体" w:cs="宋体"/>
          <w:color w:val="auto"/>
          <w:kern w:val="0"/>
          <w:sz w:val="24"/>
          <w:szCs w:val="24"/>
          <w:lang w:val="en-US" w:eastAsia="zh-CN"/>
        </w:rPr>
        <w:t>0</w:t>
      </w:r>
      <w:r>
        <w:rPr>
          <w:rFonts w:hint="eastAsia" w:ascii="宋体" w:hAnsi="宋体" w:eastAsia="宋体" w:cs="宋体"/>
          <w:color w:val="auto"/>
          <w:kern w:val="0"/>
          <w:sz w:val="24"/>
          <w:szCs w:val="24"/>
          <w:lang w:val="en-US"/>
        </w:rPr>
        <w:t>个,共涉及资金</w:t>
      </w:r>
      <w:r>
        <w:rPr>
          <w:rFonts w:hint="eastAsia" w:ascii="宋体" w:hAnsi="宋体" w:cs="宋体"/>
          <w:color w:val="auto"/>
          <w:kern w:val="0"/>
          <w:sz w:val="24"/>
          <w:szCs w:val="24"/>
          <w:lang w:val="en-US" w:eastAsia="zh-CN"/>
        </w:rPr>
        <w:t>493.28</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,占一般公共预算项目支出总额的</w:t>
      </w:r>
      <w:r>
        <w:rPr>
          <w:rFonts w:hint="eastAsia" w:ascii="宋体" w:hAnsi="宋体" w:cs="宋体"/>
          <w:color w:val="auto"/>
          <w:kern w:val="0"/>
          <w:sz w:val="24"/>
          <w:szCs w:val="24"/>
          <w:lang w:val="en-US" w:eastAsia="zh-CN"/>
        </w:rPr>
        <w:t>100</w:t>
      </w:r>
      <w:r>
        <w:rPr>
          <w:rFonts w:hint="eastAsia" w:ascii="宋体" w:hAnsi="宋体" w:eastAsia="宋体" w:cs="宋体"/>
          <w:color w:val="auto"/>
          <w:kern w:val="0"/>
          <w:sz w:val="24"/>
          <w:szCs w:val="24"/>
          <w:lang w:val="en-US"/>
        </w:rPr>
        <w:t>%。对</w:t>
      </w:r>
      <w:r>
        <w:rPr>
          <w:rFonts w:hint="eastAsia" w:ascii="宋体" w:hAnsi="宋体" w:eastAsia="宋体" w:cs="宋体"/>
          <w:color w:val="auto"/>
          <w:kern w:val="0"/>
          <w:sz w:val="24"/>
          <w:szCs w:val="24"/>
          <w:lang w:val="en-US" w:eastAsia="zh-CN"/>
        </w:rPr>
        <w:t>2023</w:t>
      </w:r>
      <w:r>
        <w:rPr>
          <w:rFonts w:hint="eastAsia" w:ascii="宋体" w:hAnsi="宋体" w:eastAsia="宋体" w:cs="宋体"/>
          <w:color w:val="auto"/>
          <w:kern w:val="0"/>
          <w:sz w:val="24"/>
          <w:szCs w:val="24"/>
          <w:lang w:val="en-US"/>
        </w:rPr>
        <w:t>年度用于教育事业的彩票公益金支出等</w:t>
      </w:r>
      <w:r>
        <w:rPr>
          <w:rFonts w:hint="eastAsia" w:ascii="宋体" w:hAnsi="宋体" w:cs="宋体"/>
          <w:color w:val="auto"/>
          <w:kern w:val="0"/>
          <w:sz w:val="24"/>
          <w:szCs w:val="24"/>
          <w:lang w:val="en-US" w:eastAsia="zh-CN"/>
        </w:rPr>
        <w:t>1</w:t>
      </w:r>
      <w:r>
        <w:rPr>
          <w:rFonts w:hint="eastAsia" w:ascii="宋体" w:hAnsi="宋体" w:eastAsia="宋体" w:cs="宋体"/>
          <w:color w:val="auto"/>
          <w:kern w:val="0"/>
          <w:sz w:val="24"/>
          <w:szCs w:val="24"/>
          <w:lang w:val="en-US"/>
        </w:rPr>
        <w:t>个政府性基金预算项目开展绩效自评,共涉及资金</w:t>
      </w:r>
      <w:r>
        <w:rPr>
          <w:rFonts w:hint="eastAsia" w:ascii="宋体" w:hAnsi="宋体" w:cs="宋体"/>
          <w:color w:val="auto"/>
          <w:kern w:val="0"/>
          <w:sz w:val="24"/>
          <w:szCs w:val="24"/>
          <w:lang w:val="en-US" w:eastAsia="zh-CN"/>
        </w:rPr>
        <w:t>1</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,占政府性基金预算项目支出总额的</w:t>
      </w:r>
      <w:r>
        <w:rPr>
          <w:rFonts w:hint="eastAsia" w:ascii="宋体" w:hAnsi="宋体" w:cs="宋体"/>
          <w:color w:val="auto"/>
          <w:kern w:val="0"/>
          <w:sz w:val="24"/>
          <w:szCs w:val="24"/>
          <w:lang w:val="en-US" w:eastAsia="zh-CN"/>
        </w:rPr>
        <w:t>100</w:t>
      </w:r>
      <w:r>
        <w:rPr>
          <w:rFonts w:hint="eastAsia" w:ascii="宋体" w:hAnsi="宋体" w:eastAsia="宋体" w:cs="宋体"/>
          <w:color w:val="auto"/>
          <w:kern w:val="0"/>
          <w:sz w:val="24"/>
          <w:szCs w:val="24"/>
          <w:lang w:val="en-US"/>
        </w:rPr>
        <w:t>%。</w:t>
      </w:r>
    </w:p>
    <w:p w14:paraId="6E34A6B1">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二、绩效自评结果</w:t>
      </w:r>
    </w:p>
    <w:p w14:paraId="7610D62B">
      <w:pPr>
        <w:keepNext/>
        <w:keepLines/>
        <w:suppressLineNumbers/>
        <w:spacing w:beforeLines="0" w:afterLines="0"/>
        <w:ind w:firstLine="360" w:firstLineChars="150"/>
        <w:jc w:val="both"/>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rPr>
        <w:t>我部门在</w:t>
      </w:r>
      <w:r>
        <w:rPr>
          <w:rFonts w:hint="eastAsia" w:ascii="宋体" w:hAnsi="宋体" w:eastAsia="宋体" w:cs="宋体"/>
          <w:color w:val="auto"/>
          <w:kern w:val="0"/>
          <w:sz w:val="24"/>
          <w:szCs w:val="24"/>
          <w:highlight w:val="none"/>
          <w:lang w:val="en-US" w:eastAsia="zh-CN"/>
        </w:rPr>
        <w:t>2023</w:t>
      </w:r>
      <w:r>
        <w:rPr>
          <w:rFonts w:hint="eastAsia" w:ascii="宋体" w:hAnsi="宋体" w:eastAsia="宋体" w:cs="宋体"/>
          <w:color w:val="auto"/>
          <w:kern w:val="0"/>
          <w:sz w:val="24"/>
          <w:szCs w:val="24"/>
          <w:highlight w:val="none"/>
          <w:lang w:val="en-US"/>
        </w:rPr>
        <w:t>年度部门决算中反映</w:t>
      </w:r>
      <w:r>
        <w:rPr>
          <w:rFonts w:hint="eastAsia" w:ascii="宋体" w:hAnsi="宋体" w:cs="宋体"/>
          <w:color w:val="auto"/>
          <w:kern w:val="0"/>
          <w:sz w:val="24"/>
          <w:szCs w:val="24"/>
          <w:highlight w:val="none"/>
          <w:lang w:val="en-US" w:eastAsia="zh-CN"/>
        </w:rPr>
        <w:t>一般公共支出、教育支出、社会保障和就业支出、卫生健康支出、住房保障支出</w:t>
      </w:r>
      <w:r>
        <w:rPr>
          <w:rFonts w:hint="eastAsia" w:ascii="宋体" w:hAnsi="宋体" w:eastAsia="宋体" w:cs="宋体"/>
          <w:color w:val="auto"/>
          <w:kern w:val="0"/>
          <w:sz w:val="24"/>
          <w:szCs w:val="24"/>
          <w:highlight w:val="none"/>
          <w:lang w:val="en-US"/>
        </w:rPr>
        <w:t>等</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val="en-US"/>
        </w:rPr>
        <w:t>个项目绩效自评结果。</w:t>
      </w:r>
    </w:p>
    <w:p w14:paraId="5BBC5924">
      <w:pPr>
        <w:keepNext/>
        <w:keepLines/>
        <w:numPr>
          <w:ilvl w:val="0"/>
          <w:numId w:val="3"/>
        </w:numPr>
        <w:suppressLineNumbers/>
        <w:spacing w:beforeLines="0" w:afterLines="0"/>
        <w:ind w:firstLine="480" w:firstLineChars="200"/>
        <w:jc w:val="both"/>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rPr>
        <w:t>“</w:t>
      </w:r>
      <w:r>
        <w:rPr>
          <w:rFonts w:hint="eastAsia" w:ascii="宋体" w:hAnsi="宋体" w:cs="宋体"/>
          <w:color w:val="auto"/>
          <w:kern w:val="0"/>
          <w:sz w:val="24"/>
          <w:szCs w:val="24"/>
          <w:lang w:val="en-US" w:eastAsia="zh-CN"/>
        </w:rPr>
        <w:t>一般公共服务支出</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lang w:val="en-US"/>
        </w:rPr>
        <w:t>项目绩效自评情况：根据年初设定的绩效目标,项目绩效自评得分为</w:t>
      </w:r>
      <w:r>
        <w:rPr>
          <w:rFonts w:hint="eastAsia" w:ascii="宋体" w:hAnsi="宋体" w:cs="宋体"/>
          <w:color w:val="auto"/>
          <w:kern w:val="0"/>
          <w:sz w:val="24"/>
          <w:szCs w:val="24"/>
          <w:lang w:val="en-US" w:eastAsia="zh-CN"/>
        </w:rPr>
        <w:t>60</w:t>
      </w:r>
      <w:r>
        <w:rPr>
          <w:rFonts w:hint="eastAsia" w:ascii="宋体" w:hAnsi="宋体" w:eastAsia="宋体" w:cs="宋体"/>
          <w:color w:val="auto"/>
          <w:kern w:val="0"/>
          <w:sz w:val="24"/>
          <w:szCs w:val="24"/>
          <w:lang w:val="en-US"/>
        </w:rPr>
        <w:t>分。项目全年预算数为</w:t>
      </w:r>
      <w:r>
        <w:rPr>
          <w:rFonts w:hint="eastAsia" w:ascii="宋体" w:hAnsi="宋体" w:cs="宋体"/>
          <w:color w:val="auto"/>
          <w:kern w:val="0"/>
          <w:sz w:val="24"/>
          <w:szCs w:val="24"/>
          <w:lang w:val="en-US" w:eastAsia="zh-CN"/>
        </w:rPr>
        <w:t>5.34</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,执行数为</w:t>
      </w:r>
      <w:r>
        <w:rPr>
          <w:rFonts w:hint="eastAsia" w:ascii="宋体" w:hAnsi="宋体" w:cs="宋体"/>
          <w:color w:val="auto"/>
          <w:kern w:val="0"/>
          <w:sz w:val="24"/>
          <w:szCs w:val="24"/>
          <w:lang w:val="en-US" w:eastAsia="zh-CN"/>
        </w:rPr>
        <w:t>3.03</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,完成预算的</w:t>
      </w:r>
      <w:r>
        <w:rPr>
          <w:rFonts w:hint="eastAsia" w:ascii="宋体" w:hAnsi="宋体" w:cs="宋体"/>
          <w:color w:val="auto"/>
          <w:kern w:val="0"/>
          <w:sz w:val="24"/>
          <w:szCs w:val="24"/>
          <w:lang w:val="en-US" w:eastAsia="zh-CN"/>
        </w:rPr>
        <w:t>56.7</w:t>
      </w:r>
      <w:r>
        <w:rPr>
          <w:rFonts w:hint="eastAsia" w:ascii="宋体" w:hAnsi="宋体" w:eastAsia="宋体" w:cs="宋体"/>
          <w:color w:val="auto"/>
          <w:kern w:val="0"/>
          <w:sz w:val="24"/>
          <w:szCs w:val="24"/>
          <w:lang w:val="en-US"/>
        </w:rPr>
        <w:t>%</w:t>
      </w:r>
      <w:r>
        <w:rPr>
          <w:rFonts w:hint="eastAsia" w:ascii="宋体" w:hAnsi="宋体" w:eastAsia="宋体" w:cs="宋体"/>
          <w:color w:val="000000"/>
          <w:kern w:val="0"/>
          <w:sz w:val="24"/>
          <w:szCs w:val="24"/>
          <w:lang w:val="en-US"/>
        </w:rPr>
        <w:t>。</w:t>
      </w:r>
    </w:p>
    <w:p w14:paraId="1F68743E">
      <w:pPr>
        <w:keepNext/>
        <w:keepLines/>
        <w:numPr>
          <w:ilvl w:val="0"/>
          <w:numId w:val="3"/>
        </w:numPr>
        <w:suppressLineNumbers/>
        <w:spacing w:beforeLines="0" w:afterLines="0"/>
        <w:ind w:left="0" w:leftChars="0" w:firstLine="480" w:firstLineChars="200"/>
        <w:jc w:val="both"/>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rPr>
        <w:t>“</w:t>
      </w:r>
      <w:r>
        <w:rPr>
          <w:rFonts w:hint="eastAsia" w:ascii="宋体" w:hAnsi="宋体" w:cs="宋体"/>
          <w:color w:val="auto"/>
          <w:kern w:val="0"/>
          <w:sz w:val="24"/>
          <w:szCs w:val="24"/>
          <w:lang w:val="en-US" w:eastAsia="zh-CN"/>
        </w:rPr>
        <w:t>教育支出</w:t>
      </w:r>
      <w:r>
        <w:rPr>
          <w:rFonts w:hint="eastAsia" w:ascii="宋体" w:hAnsi="宋体" w:eastAsia="宋体" w:cs="宋体"/>
          <w:color w:val="auto"/>
          <w:kern w:val="0"/>
          <w:sz w:val="24"/>
          <w:szCs w:val="24"/>
          <w:lang w:val="en-US" w:eastAsia="zh-CN"/>
        </w:rPr>
        <w:t>”项目</w:t>
      </w:r>
      <w:r>
        <w:rPr>
          <w:rFonts w:hint="eastAsia" w:ascii="宋体" w:hAnsi="宋体" w:eastAsia="宋体" w:cs="宋体"/>
          <w:color w:val="auto"/>
          <w:kern w:val="0"/>
          <w:sz w:val="24"/>
          <w:szCs w:val="24"/>
          <w:lang w:val="en-US"/>
        </w:rPr>
        <w:t>绩效自评情况：根据年初设定的绩效目标,项目绩效自评得分为</w:t>
      </w:r>
      <w:r>
        <w:rPr>
          <w:rFonts w:hint="eastAsia" w:ascii="宋体" w:hAnsi="宋体" w:cs="宋体"/>
          <w:color w:val="auto"/>
          <w:kern w:val="0"/>
          <w:sz w:val="24"/>
          <w:szCs w:val="24"/>
          <w:lang w:val="en-US" w:eastAsia="zh-CN"/>
        </w:rPr>
        <w:t>70</w:t>
      </w:r>
      <w:r>
        <w:rPr>
          <w:rFonts w:hint="eastAsia" w:ascii="宋体" w:hAnsi="宋体" w:eastAsia="宋体" w:cs="宋体"/>
          <w:color w:val="auto"/>
          <w:kern w:val="0"/>
          <w:sz w:val="24"/>
          <w:szCs w:val="24"/>
          <w:lang w:val="en-US"/>
        </w:rPr>
        <w:t>分。项目全年预算数为</w:t>
      </w:r>
      <w:r>
        <w:rPr>
          <w:rFonts w:hint="eastAsia" w:ascii="宋体" w:hAnsi="宋体" w:cs="宋体"/>
          <w:color w:val="auto"/>
          <w:kern w:val="0"/>
          <w:sz w:val="24"/>
          <w:szCs w:val="24"/>
          <w:lang w:val="en-US" w:eastAsia="zh-CN"/>
        </w:rPr>
        <w:t>410.44</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,执行数为</w:t>
      </w:r>
      <w:r>
        <w:rPr>
          <w:rFonts w:hint="eastAsia" w:ascii="宋体" w:hAnsi="宋体" w:cs="宋体"/>
          <w:color w:val="auto"/>
          <w:kern w:val="0"/>
          <w:sz w:val="24"/>
          <w:szCs w:val="24"/>
          <w:lang w:val="en-US" w:eastAsia="zh-CN"/>
        </w:rPr>
        <w:t>628.47</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,完成预算的</w:t>
      </w:r>
      <w:r>
        <w:rPr>
          <w:rFonts w:hint="eastAsia" w:ascii="宋体" w:hAnsi="宋体" w:cs="宋体"/>
          <w:color w:val="auto"/>
          <w:kern w:val="0"/>
          <w:sz w:val="24"/>
          <w:szCs w:val="24"/>
          <w:lang w:val="en-US" w:eastAsia="zh-CN"/>
        </w:rPr>
        <w:t>153.12</w:t>
      </w:r>
      <w:r>
        <w:rPr>
          <w:rFonts w:hint="eastAsia" w:ascii="宋体" w:hAnsi="宋体" w:eastAsia="宋体" w:cs="宋体"/>
          <w:color w:val="auto"/>
          <w:kern w:val="0"/>
          <w:sz w:val="24"/>
          <w:szCs w:val="24"/>
          <w:lang w:val="en-US"/>
        </w:rPr>
        <w:t>%。</w:t>
      </w:r>
    </w:p>
    <w:p w14:paraId="729F651D">
      <w:pPr>
        <w:keepNext/>
        <w:keepLines/>
        <w:numPr>
          <w:ilvl w:val="0"/>
          <w:numId w:val="3"/>
        </w:numPr>
        <w:suppressLineNumbers/>
        <w:spacing w:beforeLines="0" w:afterLines="0"/>
        <w:ind w:left="0" w:leftChars="0" w:firstLine="480" w:firstLineChars="200"/>
        <w:jc w:val="both"/>
        <w:rPr>
          <w:rFonts w:hint="eastAsia" w:ascii="宋体" w:hAnsi="宋体" w:eastAsia="宋体" w:cs="宋体"/>
          <w:color w:val="auto"/>
          <w:kern w:val="0"/>
          <w:sz w:val="24"/>
          <w:szCs w:val="24"/>
          <w:lang w:val="en-US"/>
        </w:rPr>
      </w:pPr>
      <w:r>
        <w:rPr>
          <w:rFonts w:hint="eastAsia" w:ascii="宋体" w:hAnsi="宋体" w:eastAsia="宋体" w:cs="宋体"/>
          <w:color w:val="auto"/>
          <w:kern w:val="0"/>
          <w:sz w:val="24"/>
          <w:szCs w:val="24"/>
          <w:lang w:val="en-US" w:eastAsia="zh-CN"/>
        </w:rPr>
        <w:t>“</w:t>
      </w:r>
      <w:r>
        <w:rPr>
          <w:rFonts w:hint="eastAsia" w:ascii="宋体" w:hAnsi="宋体" w:cs="宋体"/>
          <w:color w:val="auto"/>
          <w:kern w:val="0"/>
          <w:sz w:val="24"/>
          <w:szCs w:val="24"/>
          <w:lang w:val="en-US" w:eastAsia="zh-CN"/>
        </w:rPr>
        <w:t>社会保障和就业</w:t>
      </w:r>
      <w:r>
        <w:rPr>
          <w:rFonts w:hint="eastAsia" w:ascii="宋体" w:hAnsi="宋体" w:eastAsia="宋体" w:cs="宋体"/>
          <w:color w:val="auto"/>
          <w:kern w:val="0"/>
          <w:sz w:val="24"/>
          <w:szCs w:val="24"/>
          <w:lang w:val="en-US" w:eastAsia="zh-CN"/>
        </w:rPr>
        <w:t>”项目</w:t>
      </w:r>
      <w:r>
        <w:rPr>
          <w:rFonts w:hint="eastAsia" w:ascii="宋体" w:hAnsi="宋体" w:eastAsia="宋体" w:cs="宋体"/>
          <w:color w:val="auto"/>
          <w:kern w:val="0"/>
          <w:sz w:val="24"/>
          <w:szCs w:val="24"/>
          <w:lang w:val="en-US"/>
        </w:rPr>
        <w:t>绩效自评情况：根据年初设定的绩效目标,项目绩效自评得分为</w:t>
      </w:r>
      <w:r>
        <w:rPr>
          <w:rFonts w:hint="eastAsia" w:ascii="宋体" w:hAnsi="宋体" w:cs="宋体"/>
          <w:color w:val="auto"/>
          <w:kern w:val="0"/>
          <w:sz w:val="24"/>
          <w:szCs w:val="24"/>
          <w:lang w:val="en-US" w:eastAsia="zh-CN"/>
        </w:rPr>
        <w:t>70</w:t>
      </w:r>
      <w:r>
        <w:rPr>
          <w:rFonts w:hint="eastAsia" w:ascii="宋体" w:hAnsi="宋体" w:eastAsia="宋体" w:cs="宋体"/>
          <w:color w:val="auto"/>
          <w:kern w:val="0"/>
          <w:sz w:val="24"/>
          <w:szCs w:val="24"/>
          <w:lang w:val="en-US"/>
        </w:rPr>
        <w:t>分。项目全年预算数为</w:t>
      </w:r>
      <w:r>
        <w:rPr>
          <w:rFonts w:hint="eastAsia" w:ascii="宋体" w:hAnsi="宋体" w:cs="宋体"/>
          <w:color w:val="auto"/>
          <w:kern w:val="0"/>
          <w:sz w:val="24"/>
          <w:szCs w:val="24"/>
          <w:lang w:val="en-US" w:eastAsia="zh-CN"/>
        </w:rPr>
        <w:t>54.85</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,执行数为</w:t>
      </w:r>
      <w:r>
        <w:rPr>
          <w:rFonts w:hint="eastAsia" w:ascii="宋体" w:hAnsi="宋体" w:cs="宋体"/>
          <w:color w:val="auto"/>
          <w:kern w:val="0"/>
          <w:sz w:val="24"/>
          <w:szCs w:val="24"/>
          <w:lang w:val="en-US" w:eastAsia="zh-CN"/>
        </w:rPr>
        <w:t>56.39</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,完成预算的</w:t>
      </w:r>
      <w:r>
        <w:rPr>
          <w:rFonts w:hint="eastAsia" w:ascii="宋体" w:hAnsi="宋体" w:cs="宋体"/>
          <w:color w:val="auto"/>
          <w:kern w:val="0"/>
          <w:sz w:val="24"/>
          <w:szCs w:val="24"/>
          <w:lang w:val="en-US" w:eastAsia="zh-CN"/>
        </w:rPr>
        <w:t>102.81</w:t>
      </w:r>
      <w:r>
        <w:rPr>
          <w:rFonts w:hint="eastAsia" w:ascii="宋体" w:hAnsi="宋体" w:eastAsia="宋体" w:cs="宋体"/>
          <w:color w:val="auto"/>
          <w:kern w:val="0"/>
          <w:sz w:val="24"/>
          <w:szCs w:val="24"/>
          <w:lang w:val="en-US"/>
        </w:rPr>
        <w:t>%。</w:t>
      </w:r>
    </w:p>
    <w:p w14:paraId="6904535E">
      <w:pPr>
        <w:keepNext/>
        <w:keepLines/>
        <w:numPr>
          <w:ilvl w:val="0"/>
          <w:numId w:val="3"/>
        </w:numPr>
        <w:suppressLineNumbers/>
        <w:spacing w:beforeLines="0" w:afterLines="0"/>
        <w:ind w:left="0" w:leftChars="0" w:firstLine="480" w:firstLineChars="200"/>
        <w:jc w:val="both"/>
        <w:rPr>
          <w:rFonts w:hint="eastAsia" w:ascii="宋体" w:hAnsi="宋体" w:eastAsia="宋体" w:cs="宋体"/>
          <w:color w:val="000000"/>
          <w:kern w:val="0"/>
          <w:sz w:val="24"/>
          <w:szCs w:val="24"/>
          <w:lang w:val="en-US" w:eastAsia="zh-CN"/>
        </w:rPr>
      </w:pPr>
      <w:r>
        <w:rPr>
          <w:rFonts w:hint="eastAsia" w:ascii="宋体" w:hAnsi="宋体" w:eastAsia="宋体" w:cs="宋体"/>
          <w:color w:val="auto"/>
          <w:kern w:val="0"/>
          <w:sz w:val="24"/>
          <w:szCs w:val="24"/>
          <w:lang w:val="en-US" w:eastAsia="zh-CN"/>
        </w:rPr>
        <w:t>“</w:t>
      </w:r>
      <w:r>
        <w:rPr>
          <w:rFonts w:hint="eastAsia" w:ascii="宋体" w:hAnsi="宋体" w:cs="宋体"/>
          <w:color w:val="auto"/>
          <w:kern w:val="0"/>
          <w:sz w:val="24"/>
          <w:szCs w:val="24"/>
          <w:lang w:val="en-US" w:eastAsia="zh-CN"/>
        </w:rPr>
        <w:t>卫生健康支出</w:t>
      </w:r>
      <w:r>
        <w:rPr>
          <w:rFonts w:hint="eastAsia" w:ascii="宋体" w:hAnsi="宋体" w:eastAsia="宋体" w:cs="宋体"/>
          <w:color w:val="auto"/>
          <w:kern w:val="0"/>
          <w:sz w:val="24"/>
          <w:szCs w:val="24"/>
          <w:lang w:val="en-US" w:eastAsia="zh-CN"/>
        </w:rPr>
        <w:t>”项目</w:t>
      </w:r>
      <w:r>
        <w:rPr>
          <w:rFonts w:hint="eastAsia" w:ascii="宋体" w:hAnsi="宋体" w:eastAsia="宋体" w:cs="宋体"/>
          <w:color w:val="auto"/>
          <w:kern w:val="0"/>
          <w:sz w:val="24"/>
          <w:szCs w:val="24"/>
          <w:lang w:val="en-US"/>
        </w:rPr>
        <w:t>绩效自评情况：根据年初设定的绩效目标,项目绩效自评得分为</w:t>
      </w:r>
      <w:r>
        <w:rPr>
          <w:rFonts w:hint="eastAsia" w:ascii="宋体" w:hAnsi="宋体" w:cs="宋体"/>
          <w:color w:val="auto"/>
          <w:kern w:val="0"/>
          <w:sz w:val="24"/>
          <w:szCs w:val="24"/>
          <w:lang w:val="en-US" w:eastAsia="zh-CN"/>
        </w:rPr>
        <w:t>60</w:t>
      </w:r>
      <w:r>
        <w:rPr>
          <w:rFonts w:hint="eastAsia" w:ascii="宋体" w:hAnsi="宋体" w:eastAsia="宋体" w:cs="宋体"/>
          <w:color w:val="auto"/>
          <w:kern w:val="0"/>
          <w:sz w:val="24"/>
          <w:szCs w:val="24"/>
          <w:lang w:val="en-US"/>
        </w:rPr>
        <w:t>分。项目全年预算数为</w:t>
      </w:r>
      <w:r>
        <w:rPr>
          <w:rFonts w:hint="eastAsia" w:ascii="宋体" w:hAnsi="宋体" w:cs="宋体"/>
          <w:color w:val="auto"/>
          <w:kern w:val="0"/>
          <w:sz w:val="24"/>
          <w:szCs w:val="24"/>
          <w:lang w:val="en-US" w:eastAsia="zh-CN"/>
        </w:rPr>
        <w:t>21.10</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,执行数为</w:t>
      </w:r>
      <w:r>
        <w:rPr>
          <w:rFonts w:hint="eastAsia" w:ascii="宋体" w:hAnsi="宋体" w:cs="宋体"/>
          <w:color w:val="auto"/>
          <w:kern w:val="0"/>
          <w:sz w:val="24"/>
          <w:szCs w:val="24"/>
          <w:lang w:val="en-US" w:eastAsia="zh-CN"/>
        </w:rPr>
        <w:t>19.18</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,完成预算的</w:t>
      </w:r>
      <w:r>
        <w:rPr>
          <w:rFonts w:hint="eastAsia" w:ascii="宋体" w:hAnsi="宋体" w:cs="宋体"/>
          <w:color w:val="auto"/>
          <w:kern w:val="0"/>
          <w:sz w:val="24"/>
          <w:szCs w:val="24"/>
          <w:lang w:val="en-US" w:eastAsia="zh-CN"/>
        </w:rPr>
        <w:t>90.9</w:t>
      </w:r>
      <w:r>
        <w:rPr>
          <w:rFonts w:hint="eastAsia" w:ascii="宋体" w:hAnsi="宋体" w:eastAsia="宋体" w:cs="宋体"/>
          <w:color w:val="auto"/>
          <w:kern w:val="0"/>
          <w:sz w:val="24"/>
          <w:szCs w:val="24"/>
          <w:lang w:val="en-US"/>
        </w:rPr>
        <w:t>%。</w:t>
      </w:r>
    </w:p>
    <w:p w14:paraId="739A6EEF">
      <w:pPr>
        <w:keepNext/>
        <w:keepLines/>
        <w:numPr>
          <w:ilvl w:val="0"/>
          <w:numId w:val="3"/>
        </w:numPr>
        <w:suppressLineNumbers/>
        <w:spacing w:beforeLines="0" w:afterLines="0"/>
        <w:ind w:left="0" w:leftChars="0" w:firstLine="480" w:firstLineChars="200"/>
        <w:jc w:val="both"/>
        <w:rPr>
          <w:rFonts w:hint="eastAsia" w:ascii="宋体" w:hAnsi="宋体" w:eastAsia="宋体" w:cs="宋体"/>
          <w:color w:val="000000"/>
          <w:kern w:val="0"/>
          <w:sz w:val="24"/>
          <w:szCs w:val="24"/>
          <w:lang w:val="en-US" w:eastAsia="zh-CN"/>
        </w:rPr>
      </w:pPr>
      <w:r>
        <w:rPr>
          <w:rFonts w:hint="eastAsia" w:ascii="宋体" w:hAnsi="宋体" w:eastAsia="宋体" w:cs="宋体"/>
          <w:color w:val="auto"/>
          <w:kern w:val="0"/>
          <w:sz w:val="24"/>
          <w:szCs w:val="24"/>
          <w:lang w:val="en-US" w:eastAsia="zh-CN"/>
        </w:rPr>
        <w:t>“</w:t>
      </w:r>
      <w:r>
        <w:rPr>
          <w:rFonts w:hint="eastAsia" w:ascii="宋体" w:hAnsi="宋体" w:cs="宋体"/>
          <w:color w:val="auto"/>
          <w:kern w:val="0"/>
          <w:sz w:val="24"/>
          <w:szCs w:val="24"/>
          <w:lang w:val="en-US" w:eastAsia="zh-CN"/>
        </w:rPr>
        <w:t>住房保障支出</w:t>
      </w:r>
      <w:r>
        <w:rPr>
          <w:rFonts w:hint="eastAsia" w:ascii="宋体" w:hAnsi="宋体" w:eastAsia="宋体" w:cs="宋体"/>
          <w:color w:val="auto"/>
          <w:kern w:val="0"/>
          <w:sz w:val="24"/>
          <w:szCs w:val="24"/>
          <w:lang w:val="en-US" w:eastAsia="zh-CN"/>
        </w:rPr>
        <w:t>”项目</w:t>
      </w:r>
      <w:r>
        <w:rPr>
          <w:rFonts w:hint="eastAsia" w:ascii="宋体" w:hAnsi="宋体" w:eastAsia="宋体" w:cs="宋体"/>
          <w:color w:val="auto"/>
          <w:kern w:val="0"/>
          <w:sz w:val="24"/>
          <w:szCs w:val="24"/>
          <w:lang w:val="en-US"/>
        </w:rPr>
        <w:t>绩效自评情况：根据年初设定的绩效目标,项目绩效自评得分为</w:t>
      </w:r>
      <w:r>
        <w:rPr>
          <w:rFonts w:hint="eastAsia" w:ascii="宋体" w:hAnsi="宋体" w:cs="宋体"/>
          <w:color w:val="auto"/>
          <w:kern w:val="0"/>
          <w:sz w:val="24"/>
          <w:szCs w:val="24"/>
          <w:lang w:val="en-US" w:eastAsia="zh-CN"/>
        </w:rPr>
        <w:t>70</w:t>
      </w:r>
      <w:r>
        <w:rPr>
          <w:rFonts w:hint="eastAsia" w:ascii="宋体" w:hAnsi="宋体" w:eastAsia="宋体" w:cs="宋体"/>
          <w:color w:val="auto"/>
          <w:kern w:val="0"/>
          <w:sz w:val="24"/>
          <w:szCs w:val="24"/>
          <w:lang w:val="en-US"/>
        </w:rPr>
        <w:t>分。项目全年预算数为</w:t>
      </w:r>
      <w:r>
        <w:rPr>
          <w:rFonts w:hint="eastAsia" w:ascii="宋体" w:hAnsi="宋体" w:cs="宋体"/>
          <w:color w:val="auto"/>
          <w:kern w:val="0"/>
          <w:sz w:val="24"/>
          <w:szCs w:val="24"/>
          <w:lang w:val="en-US" w:eastAsia="zh-CN"/>
        </w:rPr>
        <w:t>32.49</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,执行数为</w:t>
      </w:r>
      <w:r>
        <w:rPr>
          <w:rFonts w:hint="eastAsia" w:ascii="宋体" w:hAnsi="宋体" w:cs="宋体"/>
          <w:color w:val="auto"/>
          <w:kern w:val="0"/>
          <w:sz w:val="24"/>
          <w:szCs w:val="24"/>
          <w:lang w:val="en-US" w:eastAsia="zh-CN"/>
        </w:rPr>
        <w:t>35.57</w:t>
      </w:r>
      <w:r>
        <w:rPr>
          <w:rFonts w:hint="eastAsia" w:ascii="宋体" w:hAnsi="宋体" w:eastAsia="宋体" w:cs="宋体"/>
          <w:color w:val="auto"/>
          <w:kern w:val="0"/>
          <w:sz w:val="24"/>
          <w:szCs w:val="24"/>
          <w:lang w:val="en-US" w:eastAsia="zh-CN"/>
        </w:rPr>
        <w:t>万元</w:t>
      </w:r>
      <w:r>
        <w:rPr>
          <w:rFonts w:hint="eastAsia" w:ascii="宋体" w:hAnsi="宋体" w:eastAsia="宋体" w:cs="宋体"/>
          <w:color w:val="auto"/>
          <w:kern w:val="0"/>
          <w:sz w:val="24"/>
          <w:szCs w:val="24"/>
          <w:lang w:val="en-US"/>
        </w:rPr>
        <w:t>,完成预算的</w:t>
      </w:r>
      <w:r>
        <w:rPr>
          <w:rFonts w:hint="eastAsia" w:ascii="宋体" w:hAnsi="宋体" w:cs="宋体"/>
          <w:color w:val="auto"/>
          <w:kern w:val="0"/>
          <w:sz w:val="24"/>
          <w:szCs w:val="24"/>
          <w:lang w:val="en-US" w:eastAsia="zh-CN"/>
        </w:rPr>
        <w:t>109.47</w:t>
      </w:r>
      <w:r>
        <w:rPr>
          <w:rFonts w:hint="eastAsia" w:ascii="宋体" w:hAnsi="宋体" w:eastAsia="宋体" w:cs="宋体"/>
          <w:color w:val="auto"/>
          <w:kern w:val="0"/>
          <w:sz w:val="24"/>
          <w:szCs w:val="24"/>
          <w:lang w:val="en-US"/>
        </w:rPr>
        <w:t>%。</w:t>
      </w:r>
    </w:p>
    <w:p w14:paraId="4173A419">
      <w:pPr>
        <w:keepNext/>
        <w:keepLines/>
        <w:numPr>
          <w:numId w:val="0"/>
        </w:numPr>
        <w:suppressLineNumbers/>
        <w:spacing w:beforeLines="0" w:afterLines="0"/>
        <w:jc w:val="both"/>
        <w:rPr>
          <w:rFonts w:hint="eastAsia" w:ascii="宋体" w:hAnsi="宋体" w:eastAsia="宋体" w:cs="宋体"/>
          <w:color w:val="000000"/>
          <w:kern w:val="0"/>
          <w:sz w:val="24"/>
          <w:szCs w:val="24"/>
          <w:lang w:val="en-US" w:eastAsia="zh-CN"/>
        </w:rPr>
      </w:pPr>
    </w:p>
    <w:p w14:paraId="72613AFD">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三、部门绩效评价结果</w:t>
      </w:r>
    </w:p>
    <w:p w14:paraId="28AC7D14">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第五部分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名词解释</w:t>
      </w:r>
    </w:p>
    <w:p w14:paraId="59DC9119">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一、财政拨款收入</w:t>
      </w:r>
      <w:r>
        <w:rPr>
          <w:rFonts w:hint="eastAsia" w:ascii="宋体" w:hAnsi="宋体" w:eastAsia="宋体" w:cs="宋体"/>
          <w:color w:val="auto"/>
          <w:sz w:val="24"/>
          <w:szCs w:val="24"/>
          <w:lang w:val="zh-CN"/>
        </w:rPr>
        <w:t>：指本年度从同级财政部门取得的财政拨款,包括一般公共预算财政拨款、政府性基金预算财政拨款和国有资本经营预算财政拨款。</w:t>
      </w:r>
    </w:p>
    <w:p w14:paraId="02275711">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二、事业收入</w:t>
      </w:r>
      <w:r>
        <w:rPr>
          <w:rFonts w:hint="eastAsia" w:ascii="宋体" w:hAnsi="宋体" w:eastAsia="宋体" w:cs="宋体"/>
          <w:color w:val="auto"/>
          <w:sz w:val="24"/>
          <w:szCs w:val="24"/>
          <w:lang w:val="zh-CN"/>
        </w:rPr>
        <w:t>：指事业单位开展专业业务活动及其辅助活动取得的收入。</w:t>
      </w:r>
    </w:p>
    <w:p w14:paraId="19DC8C96">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三、经营收入</w:t>
      </w:r>
      <w:r>
        <w:rPr>
          <w:rFonts w:hint="eastAsia" w:ascii="宋体" w:hAnsi="宋体" w:eastAsia="宋体" w:cs="宋体"/>
          <w:color w:val="auto"/>
          <w:sz w:val="24"/>
          <w:szCs w:val="24"/>
          <w:lang w:val="zh-CN"/>
        </w:rPr>
        <w:t>：指事业单位在专业业务活动及其辅助活动之外开展非独立核算经营活动取得的收入。</w:t>
      </w:r>
    </w:p>
    <w:p w14:paraId="156EE45B">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四、其他收入</w:t>
      </w:r>
      <w:r>
        <w:rPr>
          <w:rFonts w:hint="eastAsia" w:ascii="宋体" w:hAnsi="宋体" w:eastAsia="宋体" w:cs="宋体"/>
          <w:color w:val="auto"/>
          <w:sz w:val="24"/>
          <w:szCs w:val="24"/>
          <w:lang w:val="zh-CN"/>
        </w:rPr>
        <w:t>：指除上述“财政拨款收入”“事业收入”、“经营收入”以外的收入。</w:t>
      </w:r>
    </w:p>
    <w:p w14:paraId="31D587DF">
      <w:pPr>
        <w:spacing w:before="100" w:beforeLines="0" w:after="100" w:afterLines="0"/>
        <w:jc w:val="both"/>
        <w:rPr>
          <w:rFonts w:hint="eastAsia" w:ascii="宋体" w:hAnsi="宋体" w:eastAsia="宋体" w:cs="宋体"/>
          <w:b w:val="0"/>
          <w:bCs w:val="0"/>
          <w:color w:val="auto"/>
          <w:sz w:val="24"/>
          <w:szCs w:val="24"/>
          <w:lang w:val="zh-CN"/>
        </w:rPr>
      </w:pPr>
      <w:r>
        <w:rPr>
          <w:rFonts w:hint="eastAsia" w:ascii="宋体" w:hAnsi="宋体" w:eastAsia="宋体" w:cs="宋体"/>
          <w:b/>
          <w:bCs/>
          <w:color w:val="auto"/>
          <w:sz w:val="24"/>
          <w:szCs w:val="24"/>
          <w:lang w:val="zh-CN"/>
        </w:rPr>
        <w:t>五、使用非财政拨款结余（含专用结余）：</w:t>
      </w:r>
      <w:r>
        <w:rPr>
          <w:rFonts w:hint="eastAsia" w:ascii="宋体" w:hAnsi="宋体" w:eastAsia="宋体" w:cs="宋体"/>
          <w:b w:val="0"/>
          <w:bCs w:val="0"/>
          <w:color w:val="auto"/>
          <w:sz w:val="24"/>
          <w:szCs w:val="24"/>
          <w:lang w:val="zh-CN"/>
        </w:rPr>
        <w:t>指事业单位按照预算管理要求使用非财政拨款结余弥补收支差额的金额，以及使用专用结余安排支出的金额。</w:t>
      </w:r>
    </w:p>
    <w:p w14:paraId="4D61E738">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六、年初结转和结余</w:t>
      </w:r>
      <w:r>
        <w:rPr>
          <w:rFonts w:hint="eastAsia" w:ascii="宋体" w:hAnsi="宋体" w:eastAsia="宋体" w:cs="宋体"/>
          <w:color w:val="auto"/>
          <w:sz w:val="24"/>
          <w:szCs w:val="24"/>
          <w:lang w:val="zh-CN"/>
        </w:rPr>
        <w:t>：指单位上年结转至本年使用的基本支出结转、项目支出结转和结余、经营结余。</w:t>
      </w:r>
    </w:p>
    <w:p w14:paraId="3CDB108F">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七、结余分配</w:t>
      </w:r>
      <w:r>
        <w:rPr>
          <w:rFonts w:hint="eastAsia" w:ascii="宋体" w:hAnsi="宋体" w:eastAsia="宋体" w:cs="宋体"/>
          <w:color w:val="auto"/>
          <w:sz w:val="24"/>
          <w:szCs w:val="24"/>
          <w:lang w:val="zh-CN"/>
        </w:rPr>
        <w:t>：指单位按照会计制度规定缴纳的所得税、提取的专用结余以及转入非财政拨款结余的金额等。</w:t>
      </w:r>
    </w:p>
    <w:p w14:paraId="024B5899">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八、年末结转和结余</w:t>
      </w:r>
      <w:r>
        <w:rPr>
          <w:rFonts w:hint="eastAsia" w:ascii="宋体" w:hAnsi="宋体" w:eastAsia="宋体" w:cs="宋体"/>
          <w:color w:val="auto"/>
          <w:sz w:val="24"/>
          <w:szCs w:val="24"/>
          <w:lang w:val="zh-CN"/>
        </w:rPr>
        <w:t>：指单位按有关规定结转到下年的基本支出结转、项目支出结转和结余、经营结余。</w:t>
      </w:r>
    </w:p>
    <w:p w14:paraId="3A3401F8">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九、基本支出</w:t>
      </w:r>
      <w:r>
        <w:rPr>
          <w:rFonts w:hint="eastAsia" w:ascii="宋体" w:hAnsi="宋体" w:eastAsia="宋体" w:cs="宋体"/>
          <w:color w:val="auto"/>
          <w:sz w:val="24"/>
          <w:szCs w:val="24"/>
          <w:lang w:val="zh-CN"/>
        </w:rPr>
        <w:t>：指为保障机构正常运转、完成日常工作任务而发生的人员经费和公用经费。</w:t>
      </w:r>
    </w:p>
    <w:p w14:paraId="568BF444">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十、项目支出</w:t>
      </w:r>
      <w:r>
        <w:rPr>
          <w:rFonts w:hint="eastAsia" w:ascii="宋体" w:hAnsi="宋体" w:eastAsia="宋体" w:cs="宋体"/>
          <w:color w:val="auto"/>
          <w:sz w:val="24"/>
          <w:szCs w:val="24"/>
          <w:lang w:val="zh-CN"/>
        </w:rPr>
        <w:t>：指在基本支出之外为完成特定行政任务或事业发展目标所发生的支出。</w:t>
      </w:r>
    </w:p>
    <w:p w14:paraId="2FFE2B47">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十一、经营支出</w:t>
      </w:r>
      <w:r>
        <w:rPr>
          <w:rFonts w:hint="eastAsia" w:ascii="宋体" w:hAnsi="宋体" w:eastAsia="宋体" w:cs="宋体"/>
          <w:color w:val="auto"/>
          <w:sz w:val="24"/>
          <w:szCs w:val="24"/>
          <w:lang w:val="zh-CN"/>
        </w:rPr>
        <w:t>：指事业单位在专业业务活动及其辅助活动之外开展非独立核算经营活动发生的支出。</w:t>
      </w:r>
    </w:p>
    <w:p w14:paraId="73FAB0F9">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十二、“三公”经费</w:t>
      </w:r>
      <w:r>
        <w:rPr>
          <w:rFonts w:hint="eastAsia" w:ascii="宋体" w:hAnsi="宋体" w:eastAsia="宋体" w:cs="宋体"/>
          <w:color w:val="auto"/>
          <w:sz w:val="24"/>
          <w:szCs w:val="24"/>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4ECFF62C">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十三、机关运行经费</w:t>
      </w:r>
      <w:r>
        <w:rPr>
          <w:rFonts w:hint="eastAsia" w:ascii="宋体" w:hAnsi="宋体" w:eastAsia="宋体" w:cs="宋体"/>
          <w:color w:val="auto"/>
          <w:sz w:val="24"/>
          <w:szCs w:val="24"/>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644D7FC7">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十四、社会保障和就业支出（类）行政事业单位养老支出（款）机关事业单位基本养老保险缴费支出（项）：</w:t>
      </w:r>
      <w:r>
        <w:rPr>
          <w:rFonts w:hint="eastAsia" w:ascii="宋体" w:hAnsi="宋体" w:eastAsia="宋体" w:cs="宋体"/>
          <w:color w:val="auto"/>
          <w:sz w:val="24"/>
          <w:szCs w:val="24"/>
          <w:lang w:val="zh-CN"/>
        </w:rPr>
        <w:t>反映机关事业单位实施养老保险制度由单位缴纳的基本养老保险支出。</w:t>
      </w:r>
    </w:p>
    <w:p w14:paraId="03C59ECD">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（根据“收入决算表”和“支出决算表”，参照第十四项说明，对本部门所有涉及到的项级支出功能科目进行说明，注意不要重复，并调整段落序号）</w:t>
      </w:r>
    </w:p>
    <w:p w14:paraId="5302CB89">
      <w:pPr>
        <w:spacing w:before="100" w:beforeLines="0" w:after="100" w:afterLines="0"/>
        <w:jc w:val="both"/>
        <w:rPr>
          <w:rFonts w:hint="eastAsia" w:ascii="仿宋_GB2312" w:hAnsi="仿宋_GB2312" w:eastAsia="仿宋_GB2312" w:cs="仿宋_GB2312"/>
          <w:color w:val="auto"/>
          <w:sz w:val="32"/>
          <w:szCs w:val="32"/>
          <w:lang w:val="zh-CN"/>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4E75F3"/>
    <w:multiLevelType w:val="singleLevel"/>
    <w:tmpl w:val="B84E75F3"/>
    <w:lvl w:ilvl="0" w:tentative="0">
      <w:start w:val="1"/>
      <w:numFmt w:val="decimal"/>
      <w:lvlText w:val="%1."/>
      <w:lvlJc w:val="left"/>
      <w:pPr>
        <w:tabs>
          <w:tab w:val="left" w:pos="312"/>
        </w:tabs>
      </w:pPr>
    </w:lvl>
  </w:abstractNum>
  <w:abstractNum w:abstractNumId="1">
    <w:nsid w:val="0053208E"/>
    <w:multiLevelType w:val="singleLevel"/>
    <w:tmpl w:val="0053208E"/>
    <w:lvl w:ilvl="0" w:tentative="0">
      <w:start w:val="2"/>
      <w:numFmt w:val="chineseCounting"/>
      <w:suff w:val="nothing"/>
      <w:lvlText w:val="（%1）"/>
      <w:lvlJc w:val="left"/>
      <w:rPr>
        <w:rFonts w:hint="eastAsia"/>
      </w:rPr>
    </w:lvl>
  </w:abstractNum>
  <w:abstractNum w:abstractNumId="2">
    <w:nsid w:val="716E3004"/>
    <w:multiLevelType w:val="singleLevel"/>
    <w:tmpl w:val="716E3004"/>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kYWJhNGM2NmQyNzhhM2Q1ZDRlYzYxYmUzYjkyNmUifQ=="/>
  </w:docVars>
  <w:rsids>
    <w:rsidRoot w:val="00000000"/>
    <w:rsid w:val="04131875"/>
    <w:rsid w:val="08C03634"/>
    <w:rsid w:val="092F4AD4"/>
    <w:rsid w:val="0AF1031E"/>
    <w:rsid w:val="1AA610B1"/>
    <w:rsid w:val="1F5B78F6"/>
    <w:rsid w:val="223615FD"/>
    <w:rsid w:val="2C2440A3"/>
    <w:rsid w:val="2FBC1780"/>
    <w:rsid w:val="32704C91"/>
    <w:rsid w:val="33AD497E"/>
    <w:rsid w:val="354D547E"/>
    <w:rsid w:val="37DC7F27"/>
    <w:rsid w:val="45E561F9"/>
    <w:rsid w:val="57311C0B"/>
    <w:rsid w:val="58526C7E"/>
    <w:rsid w:val="5BEE6D28"/>
    <w:rsid w:val="5C132D57"/>
    <w:rsid w:val="5FFA0E12"/>
    <w:rsid w:val="66AA2B6D"/>
    <w:rsid w:val="78821357"/>
    <w:rsid w:val="7BF509CC"/>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9.xml"/><Relationship Id="rId2" Type="http://schemas.openxmlformats.org/officeDocument/2006/relationships/settings" Target="settings.xml"/><Relationship Id="rId19" Type="http://schemas.openxmlformats.org/officeDocument/2006/relationships/customXml" Target="../customXml/item8.xml"/><Relationship Id="rId18" Type="http://schemas.openxmlformats.org/officeDocument/2006/relationships/customXml" Target="../customXml/item7.xml"/><Relationship Id="rId17" Type="http://schemas.openxmlformats.org/officeDocument/2006/relationships/customXml" Target="../customXml/item6.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vt="http://schemas.openxmlformats.org/officeDocument/2006/docPropsVTypes" xmlns="http://schemas.openxmlformats.org/officeDocument/2006/extended-properties">
  <Template>Normal.dotm</Template>
  <TotalTime>7</TotalTime>
  <Pages>15</Pages>
  <Words>7184</Words>
  <Characters>19289</Characters>
  <Application>WPS Office_11.1.0.12980_F1E327BC-269C-435d-A152-05C5408002CA</Application>
  <DocSecurity>0</DocSecurity>
  <Lines>0</Lines>
  <Paragraphs>0</Paragraphs>
  <CharactersWithSpaces>19293</CharactersWithSpaces>
  <AppVersion>14.0000</AppVersion>
</Properties>
</file>

<file path=customXml/item2.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2024-08-20T02:55:27Z</dcterms:modified>
  <cp:revision>1</cp:revision>
</cp:coreProperties>
</file>

<file path=customXml/item4.xml><?xml version="1.0" encoding="utf-8"?>
<Properties xmlns="http://schemas.openxmlformats.org/officeDocument/2006/extended-properties" xmlns:vt="http://schemas.openxmlformats.org/officeDocument/2006/docPropsVTypes">
  <Template>Normal.dotm</Template>
  <Pages>15</Pages>
  <Words>7184</Words>
  <Characters>19289</Characters>
  <Lines>0</Lines>
  <Paragraphs>0</Paragraphs>
  <TotalTime>7</TotalTime>
  <ScaleCrop>false</ScaleCrop>
  <LinksUpToDate>false</LinksUpToDate>
  <CharactersWithSpaces>19293</CharactersWithSpaces>
  <Application>WPS Office_11.1.0.12980_F1E327BC-269C-435d-A152-05C5408002CA</Application>
  <DocSecurity>0</DocSecurity>
</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2024-08-20T02:55:27Z</dcterms:modified>
  <cp:revision>1</cp:revision>
</cp:coreProperties>
</file>

<file path=customXml/item7.xml><?xml version="1.0" encoding="utf-8"?>
<Properties xmlns="http://schemas.openxmlformats.org/officeDocument/2006/extended-properties" xmlns:vt="http://schemas.openxmlformats.org/officeDocument/2006/docPropsVTypes">
  <Template>Normal.dotm</Template>
  <Pages>15</Pages>
  <Words>7184</Words>
  <Characters>19289</Characters>
  <Lines>0</Lines>
  <Paragraphs>0</Paragraphs>
  <TotalTime>7</TotalTime>
  <ScaleCrop>false</ScaleCrop>
  <LinksUpToDate>false</LinksUpToDate>
  <CharactersWithSpaces>19293</CharactersWithSpaces>
  <Application>WPS Office_11.1.0.12980_F1E327BC-269C-435d-A152-05C5408002CA</Application>
  <DocSecurity>0</DocSecurity>
</Properties>
</file>

<file path=customXml/item8.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2024-08-20T02:55:27Z</dcterms:modified>
</cp:coreProperties>
</file>

<file path=customXml/itemProps1.xml><?xml version="1.0" encoding="utf-8"?>
<ds:datastoreItem xmlns:ds="http://schemas.openxmlformats.org/officeDocument/2006/customXml" ds:itemID="{28570dcc-a866-4cd4-ab3f-a43a14013342}">
  <ds:schemaRefs/>
</ds:datastoreItem>
</file>

<file path=customXml/itemProps2.xml><?xml version="1.0" encoding="utf-8"?>
<ds:datastoreItem xmlns:ds="http://schemas.openxmlformats.org/officeDocument/2006/customXml" ds:itemID="{49fdcdd4-94ba-4267-af59-b5e08034fb71}">
  <ds:schemaRefs/>
</ds:datastoreItem>
</file>

<file path=customXml/itemProps3.xml><?xml version="1.0" encoding="utf-8"?>
<ds:datastoreItem xmlns:ds="http://schemas.openxmlformats.org/officeDocument/2006/customXml" ds:itemID="{f2280bf6-2955-4023-ae2c-247ef7c9d539}">
  <ds:schemaRefs/>
</ds:datastoreItem>
</file>

<file path=customXml/itemProps4.xml><?xml version="1.0" encoding="utf-8"?>
<ds:datastoreItem xmlns:ds="http://schemas.openxmlformats.org/officeDocument/2006/customXml" ds:itemID="{9a37fb13-a13d-4057-bb17-a10ebd42a9a9}">
  <ds:schemaRefs/>
</ds:datastoreItem>
</file>

<file path=customXml/itemProps5.xml><?xml version="1.0" encoding="utf-8"?>
<ds:datastoreItem xmlns:ds="http://schemas.openxmlformats.org/officeDocument/2006/customXml" ds:itemID="{b9e67c00-6c22-4be1-9c1c-8896b58bcc1c}">
  <ds:schemaRefs/>
</ds:datastoreItem>
</file>

<file path=customXml/itemProps6.xml><?xml version="1.0" encoding="utf-8"?>
<ds:datastoreItem xmlns:ds="http://schemas.openxmlformats.org/officeDocument/2006/customXml" ds:itemID="{f8d3af5c-90bf-4379-a206-316706650347}">
  <ds:schemaRefs/>
</ds:datastoreItem>
</file>

<file path=customXml/itemProps7.xml><?xml version="1.0" encoding="utf-8"?>
<ds:datastoreItem xmlns:ds="http://schemas.openxmlformats.org/officeDocument/2006/customXml" ds:itemID="{a778594b-d4ed-4334-839d-575fdf2d0189}">
  <ds:schemaRefs/>
</ds:datastoreItem>
</file>

<file path=customXml/itemProps8.xml><?xml version="1.0" encoding="utf-8"?>
<ds:datastoreItem xmlns:ds="http://schemas.openxmlformats.org/officeDocument/2006/customXml" ds:itemID="{50553b5e-0417-408c-a14e-43efae5fdd84}">
  <ds:schemaRefs/>
</ds:datastoreItem>
</file>

<file path=customXml/itemProps9.xml><?xml version="1.0" encoding="utf-8"?>
<ds:datastoreItem xmlns:ds="http://schemas.openxmlformats.org/officeDocument/2006/customXml" ds:itemID="{6d440bc5-bfcc-4efe-b45c-e145b1721451}">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7021</Words>
  <Characters>8138</Characters>
  <Lines>0</Lines>
  <Paragraphs>0</Paragraphs>
  <TotalTime>10</TotalTime>
  <ScaleCrop>false</ScaleCrop>
  <LinksUpToDate>false</LinksUpToDate>
  <CharactersWithSpaces>8142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Administrator</cp:lastModifiedBy>
  <cp:lastPrinted>2024-09-06T04:27:23Z</cp:lastPrinted>
  <dcterms:modified xsi:type="dcterms:W3CDTF">2024-09-06T04:43:34Z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EB1D22507B3247FE91C3B258A09BD631_13</vt:lpwstr>
  </property>
</Properties>
</file>