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52"/>
          <w:szCs w:val="52"/>
          <w:lang w:val="zh-CN"/>
        </w:rPr>
      </w:pPr>
      <w:r>
        <w:rPr>
          <w:rFonts w:hint="eastAsia" w:ascii="宋体" w:hAnsi="宋体"/>
          <w:sz w:val="52"/>
          <w:szCs w:val="52"/>
          <w:lang w:val="zh-CN"/>
        </w:rPr>
        <w:t>2023年度</w:t>
      </w:r>
    </w:p>
    <w:p>
      <w:pPr>
        <w:spacing w:before="100" w:beforeLines="0" w:after="100" w:afterLines="0"/>
        <w:jc w:val="center"/>
        <w:rPr>
          <w:rFonts w:hint="default" w:ascii="宋体" w:hAnsi="宋体" w:eastAsia="宋体"/>
          <w:sz w:val="52"/>
          <w:szCs w:val="52"/>
          <w:lang w:val="en-US" w:eastAsia="zh-CN"/>
        </w:rPr>
      </w:pPr>
      <w:r>
        <w:rPr>
          <w:rFonts w:hint="eastAsia" w:ascii="宋体" w:hAnsi="宋体"/>
          <w:sz w:val="52"/>
          <w:szCs w:val="52"/>
          <w:lang w:val="zh-CN"/>
        </w:rPr>
        <w:t>东乡族自治县博物馆部门决算</w:t>
      </w:r>
      <w:r>
        <w:rPr>
          <w:rFonts w:hint="eastAsia" w:ascii="宋体" w:hAnsi="宋体"/>
          <w:sz w:val="52"/>
          <w:szCs w:val="52"/>
          <w:lang w:val="en-US" w:eastAsia="zh-CN"/>
        </w:rPr>
        <w:t>公开</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30"/>
          <w:szCs w:val="30"/>
          <w:lang w:val="zh-CN"/>
        </w:rPr>
      </w:pPr>
      <w:r>
        <w:rPr>
          <w:rFonts w:hint="eastAsia" w:ascii="宋体" w:hAnsi="宋体"/>
          <w:sz w:val="30"/>
          <w:szCs w:val="30"/>
          <w:lang w:val="zh-CN"/>
        </w:rPr>
        <w:t>一、部门职责</w:t>
      </w:r>
    </w:p>
    <w:p>
      <w:pPr>
        <w:spacing w:line="640" w:lineRule="exact"/>
        <w:ind w:firstLine="645"/>
        <w:rPr>
          <w:rFonts w:ascii="仿宋_GB2312" w:hAnsi="宋体" w:eastAsia="仿宋_GB2312" w:cs="宋体"/>
          <w:kern w:val="0"/>
          <w:sz w:val="32"/>
          <w:szCs w:val="32"/>
          <w:highlight w:val="yellow"/>
        </w:rPr>
      </w:pP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东乡族自治县博物馆主要承担</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保护历史遗址、收藏、展览、研究、交流</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等工作。对馆藏文物按有关规定进行妥善保管。采取有效措施，防火、防盗 确保文物安全；对全县范围内的历史、民俗文物进行普查、征集和保护；举办文物展出，发挥宣传窗口作用，为县域经济发展服务；对各个时期遗址、历史建筑物进行保护，防止文物非法流通，打击文物犯罪活动</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CN" w:bidi="zh-TW"/>
        </w:rPr>
        <w:t>，</w:t>
      </w:r>
      <w:bookmarkStart w:id="0" w:name="_GoBack"/>
      <w:bookmarkEnd w:id="0"/>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创造健康有序的文物保护环境。</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东乡族自治县</w:t>
      </w:r>
      <w:r>
        <w:rPr>
          <w:rFonts w:hint="eastAsia" w:ascii="仿宋_GB2312" w:hAnsi="仿宋_GB2312" w:eastAsia="仿宋_GB2312" w:cs="仿宋_GB2312"/>
          <w:color w:val="000000"/>
          <w:spacing w:val="0"/>
          <w:w w:val="100"/>
          <w:position w:val="0"/>
          <w:sz w:val="32"/>
          <w:szCs w:val="32"/>
          <w:lang w:eastAsia="zh-CN"/>
        </w:rPr>
        <w:t>博物馆是正科级事业单位，</w:t>
      </w:r>
      <w:r>
        <w:rPr>
          <w:rFonts w:hint="eastAsia" w:ascii="仿宋_GB2312" w:hAnsi="仿宋_GB2312" w:eastAsia="仿宋_GB2312" w:cs="仿宋_GB2312"/>
          <w:color w:val="000000"/>
          <w:spacing w:val="0"/>
          <w:w w:val="100"/>
          <w:position w:val="0"/>
          <w:sz w:val="32"/>
          <w:szCs w:val="32"/>
        </w:rPr>
        <w:t>财政</w:t>
      </w:r>
      <w:r>
        <w:rPr>
          <w:rFonts w:hint="eastAsia" w:ascii="仿宋_GB2312" w:hAnsi="仿宋_GB2312" w:eastAsia="仿宋_GB2312" w:cs="仿宋_GB2312"/>
          <w:color w:val="000000"/>
          <w:spacing w:val="0"/>
          <w:w w:val="100"/>
          <w:position w:val="0"/>
          <w:sz w:val="32"/>
          <w:szCs w:val="32"/>
          <w:lang w:eastAsia="zh-CN"/>
        </w:rPr>
        <w:t>二</w:t>
      </w:r>
      <w:r>
        <w:rPr>
          <w:rFonts w:hint="eastAsia" w:ascii="仿宋_GB2312" w:hAnsi="仿宋_GB2312" w:eastAsia="仿宋_GB2312" w:cs="仿宋_GB2312"/>
          <w:color w:val="000000"/>
          <w:spacing w:val="0"/>
          <w:w w:val="100"/>
          <w:position w:val="0"/>
          <w:sz w:val="32"/>
          <w:szCs w:val="32"/>
        </w:rPr>
        <w:t>级预算单位，属于财政补助公益一类事业单位，执行政府会计制度。县</w:t>
      </w:r>
      <w:r>
        <w:rPr>
          <w:rFonts w:hint="eastAsia" w:ascii="仿宋_GB2312" w:hAnsi="仿宋_GB2312" w:eastAsia="仿宋_GB2312" w:cs="仿宋_GB2312"/>
          <w:color w:val="000000"/>
          <w:spacing w:val="0"/>
          <w:w w:val="100"/>
          <w:position w:val="0"/>
          <w:sz w:val="32"/>
          <w:szCs w:val="32"/>
          <w:lang w:eastAsia="zh-CN"/>
        </w:rPr>
        <w:t>博物馆</w:t>
      </w:r>
      <w:r>
        <w:rPr>
          <w:rFonts w:hint="eastAsia" w:ascii="仿宋_GB2312" w:hAnsi="仿宋_GB2312" w:eastAsia="仿宋_GB2312" w:cs="仿宋_GB2312"/>
          <w:color w:val="000000"/>
          <w:spacing w:val="0"/>
          <w:w w:val="100"/>
          <w:position w:val="0"/>
          <w:sz w:val="32"/>
          <w:szCs w:val="32"/>
        </w:rPr>
        <w:t>隶属于县文体广电和旅游局，事业编制人数1</w:t>
      </w:r>
      <w:r>
        <w:rPr>
          <w:rFonts w:hint="eastAsia" w:ascii="仿宋_GB2312" w:hAnsi="仿宋_GB2312" w:eastAsia="仿宋_GB2312" w:cs="仿宋_GB2312"/>
          <w:color w:val="000000"/>
          <w:spacing w:val="0"/>
          <w:w w:val="100"/>
          <w:position w:val="0"/>
          <w:sz w:val="32"/>
          <w:szCs w:val="32"/>
          <w:lang w:val="en-US" w:eastAsia="zh-CN"/>
        </w:rPr>
        <w:t>8</w:t>
      </w:r>
      <w:r>
        <w:rPr>
          <w:rFonts w:hint="eastAsia" w:ascii="仿宋_GB2312" w:hAnsi="仿宋_GB2312" w:eastAsia="仿宋_GB2312" w:cs="仿宋_GB2312"/>
          <w:color w:val="000000"/>
          <w:spacing w:val="0"/>
          <w:w w:val="100"/>
          <w:position w:val="0"/>
          <w:sz w:val="32"/>
          <w:szCs w:val="32"/>
        </w:rPr>
        <w:t>人，单位内设办公室、社教部、财务室、保管部、安全保卫部。</w:t>
      </w:r>
    </w:p>
    <w:p>
      <w:pPr>
        <w:spacing w:before="100" w:beforeLines="0" w:after="100" w:afterLines="0"/>
        <w:jc w:val="left"/>
        <w:rPr>
          <w:rFonts w:hint="eastAsia" w:ascii="仿宋_GB2312" w:hAnsi="仿宋_GB2312" w:eastAsia="仿宋_GB2312" w:cs="仿宋_GB2312"/>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0" w:firstLineChars="0"/>
        <w:jc w:val="both"/>
        <w:textAlignment w:val="auto"/>
        <w:rPr>
          <w:rFonts w:hint="eastAsia" w:ascii="仿宋_GB2312" w:hAnsi="仿宋_GB2312" w:eastAsia="仿宋_GB2312" w:cs="仿宋_GB2312"/>
          <w:color w:val="000000"/>
          <w:spacing w:val="0"/>
          <w:w w:val="100"/>
          <w:position w:val="0"/>
          <w:sz w:val="32"/>
          <w:szCs w:val="32"/>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Style w:val="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6"/>
        <w:gridCol w:w="507"/>
        <w:gridCol w:w="1805"/>
        <w:gridCol w:w="2401"/>
        <w:gridCol w:w="507"/>
        <w:gridCol w:w="1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jc w:val="center"/>
        </w:trPr>
        <w:tc>
          <w:tcPr>
            <w:tcW w:w="1602"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281"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663" w:type="pct"/>
            <w:tcBorders>
              <w:top w:val="nil"/>
              <w:left w:val="nil"/>
              <w:bottom w:val="nil"/>
              <w:right w:val="nil"/>
            </w:tcBorders>
            <w:shd w:val="clear" w:color="auto" w:fill="auto"/>
            <w:noWrap/>
            <w:vAlign w:val="center"/>
          </w:tcPr>
          <w:p>
            <w:pPr>
              <w:keepNext w:val="0"/>
              <w:keepLines w:val="0"/>
              <w:widowControl/>
              <w:suppressLineNumbers w:val="0"/>
              <w:ind w:left="0" w:leftChars="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c>
          <w:tcPr>
            <w:tcW w:w="1507"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281"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663"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602"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281"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663"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1507"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281"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663" w:type="pct"/>
            <w:tcBorders>
              <w:top w:val="nil"/>
              <w:left w:val="nil"/>
              <w:bottom w:val="nil"/>
              <w:right w:val="nil"/>
            </w:tcBorders>
            <w:shd w:val="clear" w:color="auto" w:fill="auto"/>
            <w:noWrap/>
            <w:vAlign w:val="bottom"/>
          </w:tcPr>
          <w:p>
            <w:pPr>
              <w:keepNext w:val="0"/>
              <w:keepLines w:val="0"/>
              <w:widowControl/>
              <w:suppressLineNumbers w:val="0"/>
              <w:ind w:left="0" w:left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602" w:type="pct"/>
            <w:tcBorders>
              <w:top w:val="nil"/>
              <w:left w:val="nil"/>
              <w:bottom w:val="nil"/>
              <w:right w:val="nil"/>
            </w:tcBorders>
            <w:shd w:val="clear" w:color="auto" w:fill="auto"/>
            <w:noWrap/>
            <w:vAlign w:val="bottom"/>
          </w:tcPr>
          <w:p>
            <w:pPr>
              <w:keepNext w:val="0"/>
              <w:keepLines w:val="0"/>
              <w:widowControl/>
              <w:suppressLineNumbers w:val="0"/>
              <w:ind w:left="0" w:left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部门：东乡族自治县博物馆</w:t>
            </w:r>
          </w:p>
        </w:tc>
        <w:tc>
          <w:tcPr>
            <w:tcW w:w="281"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663"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1507"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281"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663" w:type="pct"/>
            <w:tcBorders>
              <w:top w:val="nil"/>
              <w:left w:val="nil"/>
              <w:bottom w:val="nil"/>
              <w:right w:val="nil"/>
            </w:tcBorders>
            <w:shd w:val="clear" w:color="auto" w:fill="auto"/>
            <w:noWrap/>
            <w:vAlign w:val="bottom"/>
          </w:tcPr>
          <w:p>
            <w:pPr>
              <w:keepNext w:val="0"/>
              <w:keepLines w:val="0"/>
              <w:widowControl/>
              <w:suppressLineNumbers w:val="0"/>
              <w:ind w:left="0" w:left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2547" w:type="pct"/>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2452" w:type="pct"/>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6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66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1" w:type="pct"/>
            <w:tcBorders>
              <w:top w:val="nil"/>
              <w:left w:val="nil"/>
              <w:bottom w:val="single" w:color="D4D4D4" w:sz="4" w:space="0"/>
              <w:right w:val="single" w:color="D4D4D4" w:sz="4" w:space="0"/>
            </w:tcBorders>
            <w:shd w:val="clear" w:color="auto" w:fill="F1F1F1"/>
            <w:noWrap/>
            <w:vAlign w:val="center"/>
          </w:tcPr>
          <w:p>
            <w:pPr>
              <w:ind w:left="0" w:leftChars="0"/>
              <w:jc w:val="center"/>
              <w:rPr>
                <w:rFonts w:hint="eastAsia" w:ascii="宋体" w:hAnsi="宋体" w:eastAsia="宋体" w:cs="宋体"/>
                <w:i w:val="0"/>
                <w:iCs w:val="0"/>
                <w:color w:val="000000"/>
                <w:sz w:val="22"/>
                <w:szCs w:val="22"/>
                <w:u w:val="none"/>
              </w:rPr>
            </w:pPr>
          </w:p>
        </w:tc>
        <w:tc>
          <w:tcPr>
            <w:tcW w:w="66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81" w:type="pct"/>
            <w:tcBorders>
              <w:top w:val="nil"/>
              <w:left w:val="nil"/>
              <w:bottom w:val="single" w:color="D4D4D4" w:sz="4" w:space="0"/>
              <w:right w:val="single" w:color="D4D4D4" w:sz="4" w:space="0"/>
            </w:tcBorders>
            <w:shd w:val="clear" w:color="auto" w:fill="F1F1F1"/>
            <w:noWrap/>
            <w:vAlign w:val="center"/>
          </w:tcPr>
          <w:p>
            <w:pPr>
              <w:ind w:left="0" w:leftChars="0"/>
              <w:jc w:val="center"/>
              <w:rPr>
                <w:rFonts w:hint="eastAsia" w:ascii="宋体" w:hAnsi="宋体" w:eastAsia="宋体" w:cs="宋体"/>
                <w:i w:val="0"/>
                <w:iCs w:val="0"/>
                <w:color w:val="000000"/>
                <w:sz w:val="22"/>
                <w:szCs w:val="22"/>
                <w:u w:val="none"/>
              </w:rPr>
            </w:pPr>
          </w:p>
        </w:tc>
        <w:tc>
          <w:tcPr>
            <w:tcW w:w="66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2,255,555.05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149,471.40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center"/>
              <w:rPr>
                <w:rFonts w:hint="eastAsia" w:ascii="宋体" w:hAnsi="宋体" w:eastAsia="宋体" w:cs="宋体"/>
                <w:b/>
                <w:bCs/>
                <w:i w:val="0"/>
                <w:iCs w:val="0"/>
                <w:color w:val="000000"/>
                <w:sz w:val="20"/>
                <w:szCs w:val="20"/>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0"/>
                <w:szCs w:val="20"/>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0"/>
                <w:szCs w:val="20"/>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0"/>
                <w:szCs w:val="20"/>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0"/>
                <w:szCs w:val="20"/>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0"/>
                <w:szCs w:val="20"/>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right"/>
              <w:rPr>
                <w:rFonts w:hint="eastAsia" w:ascii="宋体" w:hAnsi="宋体" w:eastAsia="宋体" w:cs="宋体"/>
                <w:i w:val="0"/>
                <w:iCs w:val="0"/>
                <w:color w:val="000000"/>
                <w:sz w:val="22"/>
                <w:szCs w:val="22"/>
                <w:u w:val="none"/>
              </w:rPr>
            </w:pPr>
          </w:p>
        </w:tc>
        <w:tc>
          <w:tcPr>
            <w:tcW w:w="1507" w:type="pct"/>
            <w:tcBorders>
              <w:top w:val="nil"/>
              <w:left w:val="nil"/>
              <w:bottom w:val="single" w:color="D4D4D4" w:sz="4" w:space="0"/>
              <w:right w:val="single" w:color="D4D4D4" w:sz="4" w:space="0"/>
            </w:tcBorders>
            <w:shd w:val="clear" w:color="auto" w:fill="F1F1F1"/>
            <w:noWrap/>
            <w:vAlign w:val="center"/>
          </w:tcPr>
          <w:p>
            <w:pPr>
              <w:ind w:left="0" w:leftChars="0"/>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663" w:type="pct"/>
            <w:tcBorders>
              <w:top w:val="nil"/>
              <w:left w:val="nil"/>
              <w:bottom w:val="single" w:color="D4D4D4" w:sz="4" w:space="0"/>
              <w:right w:val="single" w:color="D4D4D4" w:sz="4" w:space="0"/>
            </w:tcBorders>
            <w:shd w:val="clear" w:color="auto" w:fill="FFFFFF"/>
            <w:noWrap/>
            <w:vAlign w:val="center"/>
          </w:tcPr>
          <w:p>
            <w:pPr>
              <w:ind w:left="0" w:lef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6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c>
          <w:tcPr>
            <w:tcW w:w="15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28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66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602"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281"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663"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1507"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281"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663"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0" w:hRule="atLeast"/>
          <w:jc w:val="center"/>
        </w:trPr>
        <w:tc>
          <w:tcPr>
            <w:tcW w:w="1602"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281"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663"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1507"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281"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663" w:type="pct"/>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r>
    </w:tbl>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Style w:val="3"/>
        <w:tblpPr w:leftFromText="180" w:rightFromText="180" w:vertAnchor="text" w:horzAnchor="page" w:tblpXSpec="center" w:tblpY="464"/>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3"/>
        <w:gridCol w:w="219"/>
        <w:gridCol w:w="219"/>
        <w:gridCol w:w="2323"/>
        <w:gridCol w:w="924"/>
        <w:gridCol w:w="1014"/>
        <w:gridCol w:w="452"/>
        <w:gridCol w:w="452"/>
        <w:gridCol w:w="452"/>
        <w:gridCol w:w="453"/>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ind w:left="0" w:leftChars="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ind w:left="0" w:left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ind w:left="0" w:left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部门：东乡族自治县博物馆</w:t>
            </w: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ind w:left="0" w:leftChars="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ind w:left="0" w:lef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ind w:left="0" w:left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2,673,210.05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2,673,210.05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2,255,555.05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2,255,555.05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1,468,371.69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1,468,371.69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1,468,371.69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1,468,371.69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博物馆</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ind w:left="0" w:leftChars="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11"/>
            <w:tcBorders>
              <w:top w:val="nil"/>
              <w:left w:val="nil"/>
              <w:bottom w:val="nil"/>
              <w:right w:val="nil"/>
            </w:tcBorders>
            <w:shd w:val="clear" w:color="auto" w:fill="FFFFFF"/>
            <w:noWrap/>
            <w:vAlign w:val="center"/>
          </w:tcPr>
          <w:p>
            <w:pPr>
              <w:keepNext w:val="0"/>
              <w:keepLines w:val="0"/>
              <w:widowControl/>
              <w:suppressLineNumbers w:val="0"/>
              <w:ind w:left="0"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ind w:left="0" w:leftChars="0"/>
              <w:rPr>
                <w:rFonts w:hint="eastAsia" w:ascii="宋体" w:hAnsi="宋体" w:eastAsia="宋体" w:cs="宋体"/>
                <w:i w:val="0"/>
                <w:iCs w:val="0"/>
                <w:color w:val="000000"/>
                <w:sz w:val="22"/>
                <w:szCs w:val="22"/>
                <w:u w:val="none"/>
              </w:rPr>
            </w:pPr>
          </w:p>
        </w:tc>
      </w:tr>
    </w:tbl>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1"/>
        <w:gridCol w:w="219"/>
        <w:gridCol w:w="219"/>
        <w:gridCol w:w="2435"/>
        <w:gridCol w:w="1056"/>
        <w:gridCol w:w="962"/>
        <w:gridCol w:w="837"/>
        <w:gridCol w:w="339"/>
        <w:gridCol w:w="339"/>
        <w:gridCol w:w="8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部门：东乡族自治县博物馆</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2,673,210.05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1,714,326.69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958,883.36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2,255,555.05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1,383,671.69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871,883.36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1,468,371.69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1,383,671.69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1,468,371.69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1,383,671.69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博物馆</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p>
      <w:pPr>
        <w:numPr>
          <w:ilvl w:val="0"/>
          <w:numId w:val="0"/>
        </w:numPr>
        <w:spacing w:before="100" w:beforeLines="0" w:after="100" w:afterLines="0"/>
        <w:jc w:val="left"/>
        <w:rPr>
          <w:rFonts w:hint="eastAsia" w:ascii="宋体" w:hAnsi="宋体"/>
          <w:color w:val="auto"/>
          <w:sz w:val="24"/>
          <w:szCs w:val="24"/>
          <w:lang w:val="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81"/>
        <w:gridCol w:w="314"/>
        <w:gridCol w:w="802"/>
        <w:gridCol w:w="1680"/>
        <w:gridCol w:w="1813"/>
        <w:gridCol w:w="802"/>
        <w:gridCol w:w="802"/>
        <w:gridCol w:w="314"/>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部门：东乡族自治县博物馆</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2,255,555.05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2,255,555.05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149,471.40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2,673,210.05</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numPr>
          <w:ilvl w:val="0"/>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2"/>
        <w:gridCol w:w="220"/>
        <w:gridCol w:w="220"/>
        <w:gridCol w:w="3283"/>
        <w:gridCol w:w="1123"/>
        <w:gridCol w:w="1123"/>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部门：东乡族自治县博物馆</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2,673,210.05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1,714,326.69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958,883.36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2,255,555.05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1,383,671.69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871,883.36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文化和旅游</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1,468,371.69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1,383,671.69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1,468,371.69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1,383,671.69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2070205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博物馆</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787,183.36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2,071.40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67,411.80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巩固脱贫攻坚成果衔接乡村振兴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113,413.00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p>
      <w:pPr>
        <w:numPr>
          <w:ilvl w:val="0"/>
          <w:numId w:val="0"/>
        </w:numPr>
        <w:spacing w:before="100" w:beforeLines="0" w:after="100" w:afterLines="0"/>
        <w:jc w:val="left"/>
        <w:rPr>
          <w:rFonts w:hint="eastAsia" w:ascii="宋体" w:hAnsi="宋体"/>
          <w:color w:val="auto"/>
          <w:sz w:val="24"/>
          <w:szCs w:val="24"/>
          <w:lang w:val="zh-CN"/>
        </w:rPr>
      </w:pP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1359"/>
        <w:gridCol w:w="673"/>
        <w:gridCol w:w="406"/>
        <w:gridCol w:w="2190"/>
        <w:gridCol w:w="597"/>
        <w:gridCol w:w="406"/>
        <w:gridCol w:w="1664"/>
        <w:gridCol w:w="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4"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部门：东乡族自治县博物馆</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jc w:val="center"/>
        </w:trPr>
        <w:tc>
          <w:tcPr>
            <w:tcW w:w="0" w:type="auto"/>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3" w:hRule="atLeast"/>
          <w:jc w:val="center"/>
        </w:trPr>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1,594,758.20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109,568.49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540,231.72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58,799.69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557,616.78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178,613.50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135,400.00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66,709.80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2,773.40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37,960.00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113,413.00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12,358.80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jc w:val="center"/>
        </w:trPr>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w:t>
            </w: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7" w:hRule="atLeast"/>
          <w:jc w:val="center"/>
        </w:trPr>
        <w:tc>
          <w:tcPr>
            <w:tcW w:w="0" w:type="auto"/>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1,594,758.20</w:t>
            </w:r>
          </w:p>
        </w:tc>
        <w:tc>
          <w:tcPr>
            <w:tcW w:w="0" w:type="auto"/>
            <w:gridSpan w:val="5"/>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119,568.49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jc w:val="center"/>
        </w:trPr>
        <w:tc>
          <w:tcPr>
            <w:tcW w:w="0" w:type="auto"/>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jc w:val="center"/>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numPr>
          <w:ilvl w:val="0"/>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p>
      <w:pPr>
        <w:numPr>
          <w:ilvl w:val="0"/>
          <w:numId w:val="0"/>
        </w:numPr>
        <w:spacing w:before="100" w:beforeLines="0" w:after="100" w:afterLines="0"/>
        <w:jc w:val="left"/>
        <w:rPr>
          <w:rFonts w:hint="eastAsia" w:ascii="宋体" w:hAnsi="宋体"/>
          <w:color w:val="auto"/>
          <w:sz w:val="24"/>
          <w:szCs w:val="24"/>
          <w:lang w:val="zh-CN"/>
        </w:rPr>
      </w:pPr>
    </w:p>
    <w:tbl>
      <w:tblPr>
        <w:tblStyle w:val="3"/>
        <w:tblW w:w="80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86"/>
        <w:gridCol w:w="220"/>
        <w:gridCol w:w="220"/>
        <w:gridCol w:w="755"/>
        <w:gridCol w:w="3526"/>
        <w:gridCol w:w="351"/>
        <w:gridCol w:w="351"/>
        <w:gridCol w:w="351"/>
        <w:gridCol w:w="351"/>
        <w:gridCol w:w="9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部门：东乡族自治县博物馆</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0" w:type="auto"/>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3"/>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0" w:type="auto"/>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0" w:type="auto"/>
            <w:gridSpan w:val="3"/>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numPr>
          <w:ilvl w:val="0"/>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tbl>
      <w:tblPr>
        <w:tblStyle w:val="3"/>
        <w:tblW w:w="9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49"/>
        <w:gridCol w:w="236"/>
        <w:gridCol w:w="236"/>
        <w:gridCol w:w="2827"/>
        <w:gridCol w:w="1208"/>
        <w:gridCol w:w="1208"/>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264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2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c>
          <w:tcPr>
            <w:tcW w:w="12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4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49"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部门：东乡族自治县博物馆</w:t>
            </w: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48"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212" w:type="dxa"/>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21" w:type="dxa"/>
            <w:gridSpan w:val="3"/>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827" w:type="dxa"/>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08"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08"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96" w:type="dxa"/>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21"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27"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0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0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9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21" w:type="dxa"/>
            <w:gridSpan w:val="3"/>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27"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20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08"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96"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48"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0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8"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6" w:type="dxa"/>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948" w:type="dxa"/>
            <w:gridSpan w:val="4"/>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0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08" w:type="dxa"/>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796"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21" w:type="dxa"/>
            <w:gridSpan w:val="3"/>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2827" w:type="dxa"/>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20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8"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796" w:type="dxa"/>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160" w:type="dxa"/>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4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82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0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9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Style w:val="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495"/>
        <w:gridCol w:w="402"/>
        <w:gridCol w:w="402"/>
        <w:gridCol w:w="402"/>
        <w:gridCol w:w="3006"/>
        <w:gridCol w:w="402"/>
        <w:gridCol w:w="495"/>
        <w:gridCol w:w="402"/>
        <w:gridCol w:w="402"/>
        <w:gridCol w:w="402"/>
        <w:gridCol w:w="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财政拨款“三公”经费支出决算表</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部门：东乡族自治县博物馆</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0" w:type="auto"/>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0" w:type="auto"/>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0" w:type="auto"/>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0" w:type="auto"/>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single" w:color="D4D4D4" w:sz="4" w:space="0"/>
              <w:right w:val="single" w:color="D4D4D4" w:sz="4" w:space="0"/>
            </w:tcBorders>
            <w:shd w:val="clear" w:color="auto" w:fill="D6F6E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D6F6E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numPr>
          <w:ilvl w:val="0"/>
          <w:numId w:val="0"/>
        </w:numPr>
        <w:spacing w:before="100" w:beforeLines="0" w:after="100" w:afterLines="0"/>
        <w:jc w:val="left"/>
        <w:rPr>
          <w:rFonts w:hint="eastAsia" w:ascii="宋体" w:hAnsi="宋体"/>
          <w:color w:val="auto"/>
          <w:sz w:val="24"/>
          <w:szCs w:val="24"/>
          <w:lang w:val="zh-CN"/>
        </w:rPr>
      </w:pPr>
    </w:p>
    <w:p>
      <w:pPr>
        <w:numPr>
          <w:ilvl w:val="0"/>
          <w:numId w:val="0"/>
        </w:num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267.32万元。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减少85.47万元,下降24.23%,主要原因是</w:t>
      </w:r>
      <w:r>
        <w:rPr>
          <w:rFonts w:hint="eastAsia" w:ascii="宋体" w:hAnsi="宋体"/>
          <w:color w:val="auto"/>
          <w:sz w:val="24"/>
          <w:szCs w:val="24"/>
          <w:lang w:val="en-US" w:eastAsia="zh-CN"/>
        </w:rPr>
        <w:t>博物馆免费开放资金</w:t>
      </w:r>
      <w:r>
        <w:rPr>
          <w:rFonts w:hint="eastAsia" w:ascii="宋体" w:hAnsi="宋体"/>
          <w:color w:val="auto"/>
          <w:sz w:val="24"/>
          <w:szCs w:val="24"/>
          <w:lang w:val="zh-CN"/>
        </w:rPr>
        <w:t>年初未列入预算</w:t>
      </w:r>
      <w:r>
        <w:rPr>
          <w:rFonts w:hint="eastAsia" w:ascii="宋体" w:hAnsi="宋体"/>
          <w:color w:val="auto"/>
          <w:sz w:val="24"/>
          <w:szCs w:val="24"/>
          <w:lang w:val="en-US" w:eastAsia="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2023年度收入合计267.32万元,其中：财政拨款收入267.32万元,占100.00%。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2023年度支出合计267.32万元,其中：基本支出171.43万元,占64.13%；项目支出95.89万元,占35.87%。</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267.32万元。与</w:t>
      </w:r>
      <w:r>
        <w:rPr>
          <w:rFonts w:hint="eastAsia" w:ascii="宋体" w:hAnsi="宋体"/>
          <w:color w:val="auto"/>
          <w:sz w:val="24"/>
          <w:szCs w:val="24"/>
          <w:lang w:val="en-US"/>
        </w:rPr>
        <w:t>上</w:t>
      </w:r>
      <w:r>
        <w:rPr>
          <w:rFonts w:hint="eastAsia" w:ascii="宋体" w:hAnsi="宋体"/>
          <w:color w:val="auto"/>
          <w:sz w:val="24"/>
          <w:szCs w:val="24"/>
          <w:lang w:val="zh-CN"/>
        </w:rPr>
        <w:t>年相比,各减少85.47万元,下降24.23%。主要原因是</w:t>
      </w:r>
      <w:r>
        <w:rPr>
          <w:rFonts w:hint="eastAsia" w:ascii="宋体" w:hAnsi="宋体"/>
          <w:color w:val="auto"/>
          <w:sz w:val="24"/>
          <w:szCs w:val="24"/>
          <w:lang w:val="en-US" w:eastAsia="zh-CN"/>
        </w:rPr>
        <w:t>博物馆免费开放资金</w:t>
      </w:r>
      <w:r>
        <w:rPr>
          <w:rFonts w:hint="eastAsia" w:ascii="宋体" w:hAnsi="宋体"/>
          <w:color w:val="auto"/>
          <w:sz w:val="24"/>
          <w:szCs w:val="24"/>
          <w:lang w:val="zh-CN"/>
        </w:rPr>
        <w:t>年初未列入预算。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2023年度一般公共预算财政拨款支出267.32万元,较上年决算数减少85.47万元,下降24.23%。主要原因是</w:t>
      </w:r>
      <w:r>
        <w:rPr>
          <w:rFonts w:hint="eastAsia" w:ascii="宋体" w:hAnsi="宋体"/>
          <w:color w:val="auto"/>
          <w:sz w:val="24"/>
          <w:szCs w:val="24"/>
          <w:lang w:val="en-US" w:eastAsia="zh-CN"/>
        </w:rPr>
        <w:t>博物馆免费开放资金</w:t>
      </w:r>
      <w:r>
        <w:rPr>
          <w:rFonts w:hint="eastAsia" w:ascii="宋体" w:hAnsi="宋体"/>
          <w:color w:val="auto"/>
          <w:sz w:val="24"/>
          <w:szCs w:val="24"/>
          <w:lang w:val="zh-CN"/>
        </w:rPr>
        <w:t>年初未列入预算。</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267.32万元，主要用于以下方面：一般公共服务支出1.24万元,占0.46%；文化旅游体育与传媒支出225.56万元，占84.38%；社会保障和就业支出14.95万元,占5.59%；卫生健康支出6.74万元,占2.52%；农林水支出6.60万元,占2.47%；住房保障支出12.24万元,占4.58%。</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176.82万元,支出决算为267.32万元,完成年初预算的151.19%。其中：</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年初预算数为2.06万元,支出决算为1.24万元,完成年初预算的60.0%,决算数小于预算数的主要原因是</w:t>
      </w:r>
      <w:r>
        <w:rPr>
          <w:rFonts w:hint="eastAsia" w:ascii="宋体" w:hAnsi="宋体"/>
          <w:color w:val="auto"/>
          <w:sz w:val="24"/>
          <w:szCs w:val="24"/>
          <w:lang w:val="en-US" w:eastAsia="zh-CN"/>
        </w:rPr>
        <w:t>单位人员减少</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2</w:t>
      </w:r>
      <w:r>
        <w:rPr>
          <w:rFonts w:hint="eastAsia" w:ascii="宋体" w:hAnsi="宋体"/>
          <w:color w:val="auto"/>
          <w:sz w:val="24"/>
          <w:szCs w:val="24"/>
          <w:lang w:val="zh-CN"/>
        </w:rPr>
        <w:t>．文化旅游体育与传媒支出年初预算数为138.34万元,支出决算为225.56万元,完成年初预算的163.04%,决算数大于预算数的主要原因是</w:t>
      </w:r>
      <w:r>
        <w:rPr>
          <w:rFonts w:hint="eastAsia" w:ascii="宋体" w:hAnsi="宋体"/>
          <w:color w:val="auto"/>
          <w:sz w:val="24"/>
          <w:szCs w:val="24"/>
          <w:lang w:val="en-US" w:eastAsia="zh-CN"/>
        </w:rPr>
        <w:t>博物馆免费开放资金</w:t>
      </w:r>
      <w:r>
        <w:rPr>
          <w:rFonts w:hint="eastAsia" w:ascii="宋体" w:hAnsi="宋体"/>
          <w:color w:val="auto"/>
          <w:sz w:val="24"/>
          <w:szCs w:val="24"/>
          <w:lang w:val="zh-CN"/>
        </w:rPr>
        <w:t>年初未列入预算。</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年初预算数为16.93万元,支出决算为14.95万元,完成年初预算的88.26%,决算数小于预算数的主要原因是</w:t>
      </w:r>
      <w:r>
        <w:rPr>
          <w:rFonts w:hint="eastAsia" w:ascii="宋体" w:hAnsi="宋体"/>
          <w:color w:val="auto"/>
          <w:sz w:val="24"/>
          <w:szCs w:val="24"/>
          <w:lang w:val="en-US" w:eastAsia="zh-CN"/>
        </w:rPr>
        <w:t>单位人员减少</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年初预算数为6.94万元,支出决算为6.74万元,完成年初预算的97.2%,决算数小于预算数的主要原因是</w:t>
      </w:r>
      <w:r>
        <w:rPr>
          <w:rFonts w:hint="eastAsia" w:ascii="宋体" w:hAnsi="宋体"/>
          <w:color w:val="auto"/>
          <w:sz w:val="24"/>
          <w:szCs w:val="24"/>
          <w:lang w:val="en-US" w:eastAsia="zh-CN"/>
        </w:rPr>
        <w:t>单位人员减少</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5</w:t>
      </w:r>
      <w:r>
        <w:rPr>
          <w:rFonts w:hint="eastAsia" w:ascii="宋体" w:hAnsi="宋体"/>
          <w:color w:val="auto"/>
          <w:sz w:val="24"/>
          <w:szCs w:val="24"/>
          <w:lang w:val="zh-CN"/>
        </w:rPr>
        <w:t>．</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年初预算数为0.00万元,支出决算为6.60万元,完成年初预算的%,决算数大于预算数的主要原因是驻村队员生活补助年初未列入预算。</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en-US" w:eastAsia="zh-CN"/>
        </w:rPr>
        <w:t>6</w:t>
      </w:r>
      <w:r>
        <w:rPr>
          <w:rFonts w:hint="eastAsia" w:ascii="宋体" w:hAnsi="宋体"/>
          <w:color w:val="auto"/>
          <w:sz w:val="24"/>
          <w:szCs w:val="24"/>
          <w:lang w:val="zh-CN"/>
        </w:rPr>
        <w:t>．</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年初预算数为12.54万元,支出决算为12.24万元,完成年初预算的97.59%,决算数小于预算数的主要原因</w:t>
      </w:r>
      <w:r>
        <w:rPr>
          <w:rFonts w:hint="eastAsia" w:ascii="宋体" w:hAnsi="宋体"/>
          <w:color w:val="auto"/>
          <w:sz w:val="24"/>
          <w:szCs w:val="24"/>
          <w:lang w:val="en-US" w:eastAsia="zh-CN"/>
        </w:rPr>
        <w:t>单位人员减少</w:t>
      </w:r>
      <w:r>
        <w:rPr>
          <w:rFonts w:hint="eastAsia" w:ascii="宋体" w:hAnsi="宋体"/>
          <w:color w:val="auto"/>
          <w:sz w:val="24"/>
          <w:szCs w:val="24"/>
          <w:lang w:val="zh-CN"/>
        </w:rPr>
        <w:t>，住房公积金补助支出减少。</w:t>
      </w:r>
    </w:p>
    <w:p>
      <w:pPr>
        <w:spacing w:before="100" w:beforeLines="0" w:after="100" w:afterLines="0"/>
        <w:jc w:val="left"/>
        <w:rPr>
          <w:rFonts w:hint="eastAsia" w:ascii="宋体" w:hAnsi="宋体"/>
          <w:color w:val="auto"/>
          <w:sz w:val="24"/>
          <w:szCs w:val="24"/>
          <w:lang w:val="zh-CN" w:eastAsia="zh-CN"/>
        </w:rPr>
      </w:pPr>
      <w:r>
        <w:rPr>
          <w:rFonts w:hint="eastAsia" w:ascii="宋体" w:hAnsi="宋体"/>
          <w:b/>
          <w:color w:val="auto"/>
          <w:sz w:val="24"/>
          <w:szCs w:val="24"/>
          <w:lang w:val="zh-CN" w:eastAsia="zh-CN"/>
        </w:rPr>
        <w:t>六、一般公共预算财政拨款基本支出决算情况说明</w:t>
      </w:r>
    </w:p>
    <w:p>
      <w:pPr>
        <w:spacing w:before="100" w:beforeLines="0" w:after="100" w:afterLines="0"/>
        <w:ind w:firstLine="240" w:firstLineChars="1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2023年度一般公共预算财政拨款基本支出171.43万元。其中：</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人员经费159.48万元,较上年决算数减少48.32万元,下降23.26%,主要原因是主要原因是本年度我单位</w:t>
      </w:r>
      <w:r>
        <w:rPr>
          <w:rFonts w:hint="eastAsia" w:ascii="宋体" w:hAnsi="宋体"/>
          <w:color w:val="auto"/>
          <w:sz w:val="24"/>
          <w:szCs w:val="24"/>
          <w:lang w:val="en-US" w:eastAsia="zh-CN"/>
        </w:rPr>
        <w:t>人员变动</w:t>
      </w:r>
      <w:r>
        <w:rPr>
          <w:rFonts w:hint="eastAsia" w:ascii="宋体" w:hAnsi="宋体"/>
          <w:color w:val="auto"/>
          <w:sz w:val="24"/>
          <w:szCs w:val="24"/>
          <w:lang w:val="zh-CN"/>
        </w:rPr>
        <w:t>，因人员</w:t>
      </w:r>
      <w:r>
        <w:rPr>
          <w:rFonts w:hint="eastAsia" w:ascii="宋体" w:hAnsi="宋体"/>
          <w:color w:val="auto"/>
          <w:sz w:val="24"/>
          <w:szCs w:val="24"/>
          <w:lang w:val="en-US" w:eastAsia="zh-CN"/>
        </w:rPr>
        <w:t>变动</w:t>
      </w:r>
      <w:r>
        <w:rPr>
          <w:rFonts w:hint="eastAsia" w:ascii="宋体" w:hAnsi="宋体"/>
          <w:color w:val="auto"/>
          <w:sz w:val="24"/>
          <w:szCs w:val="24"/>
          <w:lang w:val="zh-CN"/>
        </w:rPr>
        <w:t>，人员经费相应减少。人员经费用途主要包括基本工资、津贴补贴、奖金、社会保障缴费等。</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人员经费用途(</w:t>
      </w:r>
      <w:r>
        <w:rPr>
          <w:rFonts w:hint="default" w:ascii="宋体" w:hAnsi="宋体"/>
          <w:color w:val="auto"/>
          <w:sz w:val="24"/>
          <w:szCs w:val="24"/>
          <w:lang w:val="zh-CN"/>
        </w:rPr>
        <w:t>“</w:t>
      </w:r>
      <w:r>
        <w:rPr>
          <w:rFonts w:hint="eastAsia" w:ascii="宋体" w:hAnsi="宋体"/>
          <w:color w:val="auto"/>
          <w:sz w:val="24"/>
          <w:szCs w:val="24"/>
          <w:lang w:val="zh-CN"/>
        </w:rPr>
        <w:t>基本工资、津贴补贴、奖金、社会保障缴费</w:t>
      </w:r>
      <w:r>
        <w:rPr>
          <w:rFonts w:hint="default" w:ascii="宋体" w:hAnsi="宋体"/>
          <w:color w:val="auto"/>
          <w:sz w:val="24"/>
          <w:szCs w:val="24"/>
          <w:lang w:val="zh-CN"/>
        </w:rPr>
        <w:t>”</w:t>
      </w:r>
      <w:r>
        <w:rPr>
          <w:rFonts w:hint="eastAsia" w:ascii="宋体" w:hAnsi="宋体"/>
          <w:color w:val="auto"/>
          <w:sz w:val="24"/>
          <w:szCs w:val="24"/>
          <w:lang w:val="zh-CN"/>
        </w:rPr>
        <w:t>)</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11.96万元,较上年决算数增加0.35万元,增长2.96%,主要原因是主要原因是公用经费支出</w:t>
      </w:r>
      <w:r>
        <w:rPr>
          <w:rFonts w:hint="eastAsia" w:ascii="宋体" w:hAnsi="宋体"/>
          <w:color w:val="auto"/>
          <w:sz w:val="24"/>
          <w:szCs w:val="24"/>
          <w:lang w:val="en-US" w:eastAsia="zh-CN"/>
        </w:rPr>
        <w:t>增多</w:t>
      </w:r>
      <w:r>
        <w:rPr>
          <w:rFonts w:hint="eastAsia" w:ascii="宋体" w:hAnsi="宋体"/>
          <w:color w:val="auto"/>
          <w:sz w:val="24"/>
          <w:szCs w:val="24"/>
          <w:lang w:val="zh-CN"/>
        </w:rPr>
        <w:t>。公用经费用途主要包括办公费、水费、电费、邮电费、差旅费、公务用车运行维护费等。</w:t>
      </w:r>
    </w:p>
    <w:p>
      <w:pPr>
        <w:numPr>
          <w:ilvl w:val="0"/>
          <w:numId w:val="3"/>
        </w:num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政府性基金预算财政拨款收支决算情况说明</w:t>
      </w:r>
    </w:p>
    <w:p>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2023年度政府性基金预算财政拨款年初结转和结余0.00万元,本年收入0.00万元,本年支出0.00万元,年末结转和结余0.00</w:t>
      </w:r>
      <w:r>
        <w:rPr>
          <w:rFonts w:hint="eastAsia" w:ascii="宋体" w:hAnsi="宋体"/>
          <w:color w:val="auto"/>
          <w:sz w:val="24"/>
          <w:szCs w:val="24"/>
          <w:lang w:val="en-US" w:eastAsia="zh-CN"/>
        </w:rPr>
        <w:t>万元，本部门2023年度无政府性基金收入,也没有使用政府性基金安排的支出。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本部门2023年度没有使用国有资本经营预算安排的支出，2023年度国有资本经营预算财政拨款本年支出0.00万元。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en-US" w:eastAsia="zh-CN"/>
        </w:rPr>
        <w:t>本部门2023年度,无</w:t>
      </w:r>
      <w:r>
        <w:rPr>
          <w:rFonts w:hint="eastAsia" w:ascii="宋体" w:hAnsi="宋体"/>
          <w:color w:val="auto"/>
          <w:sz w:val="24"/>
          <w:szCs w:val="24"/>
          <w:lang w:val="zh-CN" w:eastAsia="zh-CN"/>
        </w:rPr>
        <w:t>财政拨款</w:t>
      </w:r>
      <w:r>
        <w:rPr>
          <w:rFonts w:hint="default" w:ascii="宋体" w:hAnsi="宋体"/>
          <w:color w:val="auto"/>
          <w:sz w:val="24"/>
          <w:szCs w:val="24"/>
          <w:lang w:val="zh-CN" w:eastAsia="zh-CN"/>
        </w:rPr>
        <w:t>“</w:t>
      </w:r>
      <w:r>
        <w:rPr>
          <w:rFonts w:hint="eastAsia" w:ascii="宋体" w:hAnsi="宋体"/>
          <w:color w:val="auto"/>
          <w:sz w:val="24"/>
          <w:szCs w:val="24"/>
          <w:lang w:val="zh-CN" w:eastAsia="zh-CN"/>
        </w:rPr>
        <w:t>三公</w:t>
      </w:r>
      <w:r>
        <w:rPr>
          <w:rFonts w:hint="default" w:ascii="宋体" w:hAnsi="宋体"/>
          <w:color w:val="auto"/>
          <w:sz w:val="24"/>
          <w:szCs w:val="24"/>
          <w:lang w:val="zh-CN" w:eastAsia="zh-CN"/>
        </w:rPr>
        <w:t>”</w:t>
      </w:r>
      <w:r>
        <w:rPr>
          <w:rFonts w:hint="eastAsia" w:ascii="宋体" w:hAnsi="宋体"/>
          <w:color w:val="auto"/>
          <w:sz w:val="24"/>
          <w:szCs w:val="24"/>
          <w:lang w:val="zh-CN" w:eastAsia="zh-CN"/>
        </w:rPr>
        <w:t>经费支出</w:t>
      </w:r>
      <w:r>
        <w:rPr>
          <w:rFonts w:hint="eastAsia" w:ascii="宋体" w:hAnsi="宋体"/>
          <w:color w:val="auto"/>
          <w:sz w:val="24"/>
          <w:szCs w:val="24"/>
          <w:lang w:val="en-US" w:eastAsia="zh-CN"/>
        </w:rPr>
        <w:t>支出。</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r>
        <w:rPr>
          <w:rFonts w:hint="eastAsia" w:ascii="宋体" w:hAnsi="宋体"/>
          <w:color w:val="auto"/>
          <w:sz w:val="24"/>
          <w:szCs w:val="24"/>
          <w:lang w:val="zh-CN" w:eastAsia="zh-CN"/>
        </w:rPr>
        <w:t>支出</w:t>
      </w:r>
      <w:r>
        <w:rPr>
          <w:rFonts w:hint="eastAsia" w:ascii="宋体" w:hAnsi="宋体"/>
          <w:color w:val="auto"/>
          <w:sz w:val="24"/>
          <w:szCs w:val="24"/>
          <w:lang w:val="en-US" w:eastAsia="zh-CN"/>
        </w:rPr>
        <w:t>全年</w:t>
      </w:r>
      <w:r>
        <w:rPr>
          <w:rFonts w:hint="eastAsia" w:ascii="宋体" w:hAnsi="宋体"/>
          <w:color w:val="auto"/>
          <w:sz w:val="24"/>
          <w:szCs w:val="24"/>
          <w:lang w:val="zh-CN" w:eastAsia="zh-CN"/>
        </w:rPr>
        <w:t>预算数为0.00万元,支出决算为0.00万元,,</w:t>
      </w:r>
      <w:r>
        <w:rPr>
          <w:rFonts w:hint="eastAsia" w:ascii="宋体" w:hAnsi="宋体"/>
          <w:color w:val="auto"/>
          <w:sz w:val="24"/>
          <w:szCs w:val="24"/>
          <w:lang w:val="en-US" w:eastAsia="zh-CN"/>
        </w:rPr>
        <w:t>较上年决算数减少0.0</w:t>
      </w:r>
      <w:r>
        <w:rPr>
          <w:rFonts w:hint="eastAsia" w:ascii="宋体" w:hAnsi="宋体"/>
          <w:color w:val="auto"/>
          <w:sz w:val="24"/>
          <w:szCs w:val="24"/>
          <w:lang w:val="zh-CN" w:eastAsia="zh-CN"/>
        </w:rPr>
        <w:t>万元</w:t>
      </w:r>
      <w:r>
        <w:rPr>
          <w:rFonts w:hint="eastAsia" w:ascii="宋体" w:hAnsi="宋体"/>
          <w:color w:val="auto"/>
          <w:sz w:val="24"/>
          <w:szCs w:val="24"/>
          <w:lang w:val="en-US" w:eastAsia="zh-CN"/>
        </w:rPr>
        <w:t>,下降0.0</w:t>
      </w:r>
      <w:r>
        <w:rPr>
          <w:rFonts w:hint="eastAsia" w:ascii="宋体" w:hAnsi="宋体"/>
          <w:color w:val="auto"/>
          <w:sz w:val="24"/>
          <w:szCs w:val="24"/>
          <w:lang w:val="zh-CN" w:eastAsia="zh-CN"/>
        </w:rPr>
        <w:t>%</w:t>
      </w:r>
      <w:r>
        <w:rPr>
          <w:rFonts w:hint="eastAsia" w:ascii="宋体" w:hAnsi="宋体"/>
          <w:color w:val="auto"/>
          <w:sz w:val="24"/>
          <w:szCs w:val="24"/>
          <w:lang w:val="en-US" w:eastAsia="zh-CN"/>
        </w:rPr>
        <w:t>,</w:t>
      </w:r>
      <w:r>
        <w:rPr>
          <w:rFonts w:hint="eastAsia" w:ascii="宋体" w:hAnsi="宋体"/>
          <w:color w:val="auto"/>
          <w:sz w:val="24"/>
          <w:szCs w:val="24"/>
          <w:lang w:val="zh-CN" w:eastAsia="zh-CN"/>
        </w:rPr>
        <w:t>。</w:t>
      </w:r>
    </w:p>
    <w:p>
      <w:pPr>
        <w:spacing w:before="100" w:beforeLines="0" w:after="100" w:afterLines="0"/>
        <w:jc w:val="left"/>
        <w:rPr>
          <w:rFonts w:hint="eastAsia" w:ascii="宋体" w:hAnsi="宋体"/>
          <w:color w:val="auto"/>
          <w:sz w:val="24"/>
          <w:szCs w:val="24"/>
          <w:lang w:val="zh-CN" w:eastAsia="zh-CN"/>
        </w:rPr>
      </w:pPr>
      <w:r>
        <w:rPr>
          <w:rFonts w:hint="default" w:ascii="宋体" w:hAnsi="宋体"/>
          <w:color w:val="auto"/>
          <w:sz w:val="24"/>
          <w:szCs w:val="24"/>
          <w:lang w:val="zh-CN" w:eastAsia="zh-CN"/>
        </w:rPr>
        <w:t>“</w:t>
      </w:r>
      <w:r>
        <w:rPr>
          <w:rFonts w:hint="eastAsia" w:ascii="宋体" w:hAnsi="宋体"/>
          <w:color w:val="auto"/>
          <w:sz w:val="24"/>
          <w:szCs w:val="24"/>
          <w:lang w:val="zh-CN" w:eastAsia="zh-CN"/>
        </w:rPr>
        <w:t>三公</w:t>
      </w:r>
      <w:r>
        <w:rPr>
          <w:rFonts w:hint="default" w:ascii="宋体" w:hAnsi="宋体"/>
          <w:color w:val="auto"/>
          <w:sz w:val="24"/>
          <w:szCs w:val="24"/>
          <w:lang w:val="zh-CN" w:eastAsia="zh-CN"/>
        </w:rPr>
        <w:t>”</w:t>
      </w:r>
      <w:r>
        <w:rPr>
          <w:rFonts w:hint="eastAsia" w:ascii="宋体" w:hAnsi="宋体"/>
          <w:color w:val="auto"/>
          <w:sz w:val="24"/>
          <w:szCs w:val="24"/>
          <w:lang w:val="zh-CN" w:eastAsia="zh-CN"/>
        </w:rPr>
        <w:t>经费财政拨款支出决算具体情况说明</w:t>
      </w:r>
    </w:p>
    <w:p>
      <w:pPr>
        <w:spacing w:before="100" w:beforeLines="0" w:after="100" w:afterLines="0"/>
        <w:jc w:val="left"/>
        <w:rPr>
          <w:rFonts w:hint="eastAsia" w:ascii="宋体" w:hAnsi="宋体"/>
          <w:color w:val="auto"/>
          <w:sz w:val="24"/>
          <w:szCs w:val="24"/>
          <w:lang w:val="zh-CN" w:eastAsia="zh-CN"/>
        </w:rPr>
      </w:pPr>
      <w:r>
        <w:rPr>
          <w:rFonts w:hint="default" w:ascii="宋体" w:hAnsi="宋体"/>
          <w:color w:val="auto"/>
          <w:sz w:val="24"/>
          <w:szCs w:val="24"/>
          <w:lang w:val="zh-CN" w:eastAsia="zh-CN"/>
        </w:rPr>
        <w:t>1.</w:t>
      </w:r>
      <w:r>
        <w:rPr>
          <w:rFonts w:hint="eastAsia" w:ascii="宋体" w:hAnsi="宋体"/>
          <w:color w:val="auto"/>
          <w:sz w:val="24"/>
          <w:szCs w:val="24"/>
          <w:lang w:val="zh-CN" w:eastAsia="zh-CN"/>
        </w:rPr>
        <w:t>因公出国(境)费用</w:t>
      </w:r>
      <w:r>
        <w:rPr>
          <w:rFonts w:hint="eastAsia" w:ascii="宋体" w:hAnsi="宋体"/>
          <w:color w:val="auto"/>
          <w:sz w:val="24"/>
          <w:szCs w:val="24"/>
          <w:lang w:val="en-US" w:eastAsia="zh-CN"/>
        </w:rPr>
        <w:t>全年</w:t>
      </w:r>
      <w:r>
        <w:rPr>
          <w:rFonts w:hint="eastAsia" w:ascii="宋体" w:hAnsi="宋体"/>
          <w:color w:val="auto"/>
          <w:sz w:val="24"/>
          <w:szCs w:val="24"/>
          <w:lang w:val="zh-CN" w:eastAsia="zh-CN"/>
        </w:rPr>
        <w:t>预算数为0.00万元,支出决算为0.00万元,决算数小于预算数的</w:t>
      </w:r>
      <w:r>
        <w:rPr>
          <w:rFonts w:hint="eastAsia" w:ascii="宋体" w:hAnsi="宋体"/>
          <w:color w:val="auto"/>
          <w:sz w:val="24"/>
          <w:szCs w:val="24"/>
          <w:lang w:val="en-US" w:eastAsia="zh-CN"/>
        </w:rPr>
        <w:t>较上年决算数减少0.0</w:t>
      </w:r>
      <w:r>
        <w:rPr>
          <w:rFonts w:hint="eastAsia" w:ascii="宋体" w:hAnsi="宋体"/>
          <w:color w:val="auto"/>
          <w:sz w:val="24"/>
          <w:szCs w:val="24"/>
          <w:lang w:val="zh-CN" w:eastAsia="zh-CN"/>
        </w:rPr>
        <w:t>万元</w:t>
      </w:r>
      <w:r>
        <w:rPr>
          <w:rFonts w:hint="eastAsia" w:ascii="宋体" w:hAnsi="宋体"/>
          <w:color w:val="auto"/>
          <w:sz w:val="24"/>
          <w:szCs w:val="24"/>
          <w:lang w:val="en-US" w:eastAsia="zh-CN"/>
        </w:rPr>
        <w:t>,下降0.0</w:t>
      </w:r>
      <w:r>
        <w:rPr>
          <w:rFonts w:hint="eastAsia" w:ascii="宋体" w:hAnsi="宋体"/>
          <w:color w:val="auto"/>
          <w:sz w:val="24"/>
          <w:szCs w:val="24"/>
          <w:lang w:val="zh-CN" w:eastAsia="zh-CN"/>
        </w:rPr>
        <w:t>%。</w:t>
      </w:r>
    </w:p>
    <w:p>
      <w:pPr>
        <w:spacing w:before="100" w:beforeLines="0" w:after="100" w:afterLines="0"/>
        <w:jc w:val="left"/>
        <w:rPr>
          <w:rFonts w:hint="eastAsia" w:ascii="宋体" w:hAnsi="宋体"/>
          <w:color w:val="auto"/>
          <w:sz w:val="24"/>
          <w:szCs w:val="24"/>
          <w:lang w:val="zh-CN" w:eastAsia="zh-CN"/>
        </w:rPr>
      </w:pPr>
      <w:r>
        <w:rPr>
          <w:rFonts w:hint="default" w:ascii="宋体" w:hAnsi="宋体"/>
          <w:color w:val="auto"/>
          <w:sz w:val="24"/>
          <w:szCs w:val="24"/>
          <w:lang w:val="zh-CN" w:eastAsia="zh-CN"/>
        </w:rPr>
        <w:t>2.</w:t>
      </w:r>
      <w:r>
        <w:rPr>
          <w:rFonts w:hint="eastAsia" w:ascii="宋体" w:hAnsi="宋体"/>
          <w:color w:val="auto"/>
          <w:sz w:val="24"/>
          <w:szCs w:val="24"/>
          <w:lang w:val="zh-CN" w:eastAsia="zh-CN"/>
        </w:rPr>
        <w:t>公务用车购置及运行维护费</w:t>
      </w:r>
      <w:r>
        <w:rPr>
          <w:rFonts w:hint="eastAsia" w:ascii="宋体" w:hAnsi="宋体"/>
          <w:color w:val="auto"/>
          <w:sz w:val="24"/>
          <w:szCs w:val="24"/>
          <w:lang w:val="en-US" w:eastAsia="zh-CN"/>
        </w:rPr>
        <w:t>全年</w:t>
      </w:r>
      <w:r>
        <w:rPr>
          <w:rFonts w:hint="eastAsia" w:ascii="宋体" w:hAnsi="宋体"/>
          <w:color w:val="auto"/>
          <w:sz w:val="24"/>
          <w:szCs w:val="24"/>
          <w:lang w:val="zh-CN" w:eastAsia="zh-CN"/>
        </w:rPr>
        <w:t>预算数为0.00万元,支出决算为0.00万元,决算数小于预算数的</w:t>
      </w:r>
      <w:r>
        <w:rPr>
          <w:rFonts w:hint="eastAsia" w:ascii="宋体" w:hAnsi="宋体"/>
          <w:color w:val="auto"/>
          <w:sz w:val="24"/>
          <w:szCs w:val="24"/>
          <w:lang w:val="en-US" w:eastAsia="zh-CN"/>
        </w:rPr>
        <w:t>较上年决算数减少0.0</w:t>
      </w:r>
      <w:r>
        <w:rPr>
          <w:rFonts w:hint="eastAsia" w:ascii="宋体" w:hAnsi="宋体"/>
          <w:color w:val="auto"/>
          <w:sz w:val="24"/>
          <w:szCs w:val="24"/>
          <w:lang w:val="zh-CN" w:eastAsia="zh-CN"/>
        </w:rPr>
        <w:t>万元</w:t>
      </w:r>
      <w:r>
        <w:rPr>
          <w:rFonts w:hint="eastAsia" w:ascii="宋体" w:hAnsi="宋体"/>
          <w:color w:val="auto"/>
          <w:sz w:val="24"/>
          <w:szCs w:val="24"/>
          <w:lang w:val="en-US" w:eastAsia="zh-CN"/>
        </w:rPr>
        <w:t>,下降0.0</w:t>
      </w:r>
      <w:r>
        <w:rPr>
          <w:rFonts w:hint="eastAsia" w:ascii="宋体" w:hAnsi="宋体"/>
          <w:color w:val="auto"/>
          <w:sz w:val="24"/>
          <w:szCs w:val="24"/>
          <w:lang w:val="zh-CN" w:eastAsia="zh-CN"/>
        </w:rPr>
        <w:t>%</w:t>
      </w:r>
      <w:r>
        <w:rPr>
          <w:rFonts w:hint="eastAsia" w:ascii="宋体" w:hAnsi="宋体"/>
          <w:color w:val="auto"/>
          <w:sz w:val="24"/>
          <w:szCs w:val="24"/>
          <w:lang w:val="en-US" w:eastAsia="zh-CN"/>
        </w:rPr>
        <w:t>,</w:t>
      </w:r>
      <w:r>
        <w:rPr>
          <w:rFonts w:hint="eastAsia" w:ascii="宋体" w:hAnsi="宋体"/>
          <w:color w:val="auto"/>
          <w:sz w:val="24"/>
          <w:szCs w:val="24"/>
          <w:lang w:val="zh-CN" w:eastAsia="zh-CN"/>
        </w:rPr>
        <w:t>。</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其中：公务用车购置费</w:t>
      </w:r>
      <w:r>
        <w:rPr>
          <w:rFonts w:hint="eastAsia" w:ascii="宋体" w:hAnsi="宋体"/>
          <w:color w:val="auto"/>
          <w:sz w:val="24"/>
          <w:szCs w:val="24"/>
          <w:lang w:val="en-US" w:eastAsia="zh-CN"/>
        </w:rPr>
        <w:t>全年</w:t>
      </w:r>
      <w:r>
        <w:rPr>
          <w:rFonts w:hint="eastAsia" w:ascii="宋体" w:hAnsi="宋体"/>
          <w:color w:val="auto"/>
          <w:sz w:val="24"/>
          <w:szCs w:val="24"/>
          <w:lang w:val="zh-CN" w:eastAsia="zh-CN"/>
        </w:rPr>
        <w:t>预算数为0.00万元,支出决算为0.00万元,决算数小于预算数的,</w:t>
      </w:r>
      <w:r>
        <w:rPr>
          <w:rFonts w:hint="eastAsia" w:ascii="宋体" w:hAnsi="宋体"/>
          <w:color w:val="auto"/>
          <w:sz w:val="24"/>
          <w:szCs w:val="24"/>
          <w:lang w:val="en-US" w:eastAsia="zh-CN"/>
        </w:rPr>
        <w:t>较上年决算数减少0.0</w:t>
      </w:r>
      <w:r>
        <w:rPr>
          <w:rFonts w:hint="eastAsia" w:ascii="宋体" w:hAnsi="宋体"/>
          <w:color w:val="auto"/>
          <w:sz w:val="24"/>
          <w:szCs w:val="24"/>
          <w:lang w:val="zh-CN" w:eastAsia="zh-CN"/>
        </w:rPr>
        <w:t>万元</w:t>
      </w:r>
      <w:r>
        <w:rPr>
          <w:rFonts w:hint="eastAsia" w:ascii="宋体" w:hAnsi="宋体"/>
          <w:color w:val="auto"/>
          <w:sz w:val="24"/>
          <w:szCs w:val="24"/>
          <w:lang w:val="en-US" w:eastAsia="zh-CN"/>
        </w:rPr>
        <w:t>,下降0.0</w:t>
      </w:r>
      <w:r>
        <w:rPr>
          <w:rFonts w:hint="eastAsia" w:ascii="宋体" w:hAnsi="宋体"/>
          <w:color w:val="auto"/>
          <w:sz w:val="24"/>
          <w:szCs w:val="24"/>
          <w:lang w:val="zh-CN" w:eastAsia="zh-CN"/>
        </w:rPr>
        <w:t>%</w:t>
      </w:r>
      <w:r>
        <w:rPr>
          <w:rFonts w:hint="eastAsia" w:ascii="宋体" w:hAnsi="宋体"/>
          <w:color w:val="auto"/>
          <w:sz w:val="24"/>
          <w:szCs w:val="24"/>
          <w:lang w:val="en-US" w:eastAsia="zh-CN"/>
        </w:rPr>
        <w:t>,</w:t>
      </w:r>
      <w:r>
        <w:rPr>
          <w:rFonts w:hint="eastAsia" w:ascii="宋体" w:hAnsi="宋体"/>
          <w:color w:val="auto"/>
          <w:sz w:val="24"/>
          <w:szCs w:val="24"/>
          <w:lang w:val="zh-CN" w:eastAsia="zh-CN"/>
        </w:rPr>
        <w:t>。</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公务用车运行维护费</w:t>
      </w:r>
      <w:r>
        <w:rPr>
          <w:rFonts w:hint="eastAsia" w:ascii="宋体" w:hAnsi="宋体"/>
          <w:color w:val="auto"/>
          <w:sz w:val="24"/>
          <w:szCs w:val="24"/>
          <w:lang w:val="en-US" w:eastAsia="zh-CN"/>
        </w:rPr>
        <w:t>全年</w:t>
      </w:r>
      <w:r>
        <w:rPr>
          <w:rFonts w:hint="eastAsia" w:ascii="宋体" w:hAnsi="宋体"/>
          <w:color w:val="auto"/>
          <w:sz w:val="24"/>
          <w:szCs w:val="24"/>
          <w:lang w:val="zh-CN" w:eastAsia="zh-CN"/>
        </w:rPr>
        <w:t>预算数为0.00万元,支出决算为0.00万元,决算数小于预算数的,</w:t>
      </w:r>
      <w:r>
        <w:rPr>
          <w:rFonts w:hint="eastAsia" w:ascii="宋体" w:hAnsi="宋体"/>
          <w:color w:val="auto"/>
          <w:sz w:val="24"/>
          <w:szCs w:val="24"/>
          <w:lang w:val="en-US" w:eastAsia="zh-CN"/>
        </w:rPr>
        <w:t>较上年决算数减少0.0</w:t>
      </w:r>
      <w:r>
        <w:rPr>
          <w:rFonts w:hint="eastAsia" w:ascii="宋体" w:hAnsi="宋体"/>
          <w:color w:val="auto"/>
          <w:sz w:val="24"/>
          <w:szCs w:val="24"/>
          <w:lang w:val="zh-CN" w:eastAsia="zh-CN"/>
        </w:rPr>
        <w:t>万元</w:t>
      </w:r>
      <w:r>
        <w:rPr>
          <w:rFonts w:hint="eastAsia" w:ascii="宋体" w:hAnsi="宋体"/>
          <w:color w:val="auto"/>
          <w:sz w:val="24"/>
          <w:szCs w:val="24"/>
          <w:lang w:val="en-US" w:eastAsia="zh-CN"/>
        </w:rPr>
        <w:t>,下降0.0</w:t>
      </w:r>
      <w:r>
        <w:rPr>
          <w:rFonts w:hint="eastAsia" w:ascii="宋体" w:hAnsi="宋体"/>
          <w:color w:val="auto"/>
          <w:sz w:val="24"/>
          <w:szCs w:val="24"/>
          <w:lang w:val="zh-CN" w:eastAsia="zh-CN"/>
        </w:rPr>
        <w:t>%</w:t>
      </w:r>
      <w:r>
        <w:rPr>
          <w:rFonts w:hint="eastAsia" w:ascii="宋体" w:hAnsi="宋体"/>
          <w:color w:val="auto"/>
          <w:sz w:val="24"/>
          <w:szCs w:val="24"/>
          <w:lang w:val="en-US" w:eastAsia="zh-CN"/>
        </w:rPr>
        <w:t>,</w:t>
      </w:r>
      <w:r>
        <w:rPr>
          <w:rFonts w:hint="eastAsia" w:ascii="宋体" w:hAnsi="宋体"/>
          <w:color w:val="auto"/>
          <w:sz w:val="24"/>
          <w:szCs w:val="24"/>
          <w:lang w:val="zh-CN" w:eastAsia="zh-CN"/>
        </w:rPr>
        <w:t>。</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公务接待费</w:t>
      </w:r>
      <w:r>
        <w:rPr>
          <w:rFonts w:hint="eastAsia" w:ascii="宋体" w:hAnsi="宋体"/>
          <w:color w:val="auto"/>
          <w:sz w:val="24"/>
          <w:szCs w:val="24"/>
          <w:lang w:val="en-US" w:eastAsia="zh-CN"/>
        </w:rPr>
        <w:t>全</w:t>
      </w:r>
      <w:r>
        <w:rPr>
          <w:rFonts w:hint="eastAsia" w:ascii="宋体" w:hAnsi="宋体"/>
          <w:color w:val="auto"/>
          <w:sz w:val="24"/>
          <w:szCs w:val="24"/>
          <w:lang w:val="zh-CN" w:eastAsia="zh-CN"/>
        </w:rPr>
        <w:t>年预算数为0.00万元,支出决算为0.00万元,决算数小于预算数的,</w:t>
      </w:r>
      <w:r>
        <w:rPr>
          <w:rFonts w:hint="eastAsia" w:ascii="宋体" w:hAnsi="宋体"/>
          <w:color w:val="auto"/>
          <w:sz w:val="24"/>
          <w:szCs w:val="24"/>
          <w:lang w:val="en-US" w:eastAsia="zh-CN"/>
        </w:rPr>
        <w:t>较上年决算数减少0.0</w:t>
      </w:r>
      <w:r>
        <w:rPr>
          <w:rFonts w:hint="eastAsia" w:ascii="宋体" w:hAnsi="宋体"/>
          <w:color w:val="auto"/>
          <w:sz w:val="24"/>
          <w:szCs w:val="24"/>
          <w:lang w:val="zh-CN" w:eastAsia="zh-CN"/>
        </w:rPr>
        <w:t>万元</w:t>
      </w:r>
      <w:r>
        <w:rPr>
          <w:rFonts w:hint="eastAsia" w:ascii="宋体" w:hAnsi="宋体"/>
          <w:color w:val="auto"/>
          <w:sz w:val="24"/>
          <w:szCs w:val="24"/>
          <w:lang w:val="en-US" w:eastAsia="zh-CN"/>
        </w:rPr>
        <w:t>,下降0.0</w:t>
      </w:r>
      <w:r>
        <w:rPr>
          <w:rFonts w:hint="eastAsia" w:ascii="宋体" w:hAnsi="宋体"/>
          <w:color w:val="auto"/>
          <w:sz w:val="24"/>
          <w:szCs w:val="24"/>
          <w:lang w:val="zh-CN" w:eastAsia="zh-CN"/>
        </w:rPr>
        <w:t>%</w:t>
      </w:r>
      <w:r>
        <w:rPr>
          <w:rFonts w:hint="eastAsia" w:ascii="宋体" w:hAnsi="宋体"/>
          <w:color w:val="auto"/>
          <w:sz w:val="24"/>
          <w:szCs w:val="24"/>
          <w:lang w:val="en-US" w:eastAsia="zh-CN"/>
        </w:rPr>
        <w:t>,</w:t>
      </w:r>
      <w:r>
        <w:rPr>
          <w:rFonts w:hint="eastAsia" w:ascii="宋体" w:hAnsi="宋体"/>
          <w:color w:val="auto"/>
          <w:sz w:val="24"/>
          <w:szCs w:val="24"/>
          <w:lang w:val="zh-CN" w:eastAsia="zh-CN"/>
        </w:rPr>
        <w:t>。</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外事接待费支出0.00万元。</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pPr>
        <w:numPr>
          <w:ilvl w:val="0"/>
          <w:numId w:val="4"/>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2023年度本部门机关运行经费支出0.00万元,机关运行经费。机关运行经费较上年决算数减少11.61万元,下降100.0%,主要原因是我单位2023年度无机关运行相关经费。</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本年度会议费支出0.00万元,较上年决算数减少0.0万元,下降%,本年度培训费支出0.00万元,较上年决算数减少0.0万元,下降</w:t>
      </w:r>
      <w:r>
        <w:rPr>
          <w:rFonts w:hint="eastAsia" w:ascii="宋体" w:hAnsi="宋体"/>
          <w:color w:val="auto"/>
          <w:sz w:val="24"/>
          <w:szCs w:val="24"/>
          <w:lang w:val="en-US" w:eastAsia="zh-CN"/>
        </w:rPr>
        <w:t>0.0</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2023年度本部门政府采购支出合计0.00万元,其中：政府采购货物支出0.00万元、政府采购工程支出0.00万元、政府采购服务支出0.00万元。授予中小企业合同金额0.00万元,占政府采购支出总额的</w:t>
      </w:r>
      <w:r>
        <w:rPr>
          <w:rFonts w:hint="eastAsia" w:ascii="宋体" w:hAnsi="宋体"/>
          <w:color w:val="auto"/>
          <w:sz w:val="24"/>
          <w:szCs w:val="24"/>
          <w:lang w:val="en-US" w:eastAsia="zh-CN"/>
        </w:rPr>
        <w:t>0</w:t>
      </w:r>
      <w:r>
        <w:rPr>
          <w:rFonts w:hint="eastAsia" w:ascii="宋体" w:hAnsi="宋体"/>
          <w:color w:val="auto"/>
          <w:sz w:val="24"/>
          <w:szCs w:val="24"/>
          <w:lang w:val="zh-CN"/>
        </w:rPr>
        <w:t>%,其中：授予小微企业合同金额0.00万元,占政府采购支出总额的</w:t>
      </w:r>
      <w:r>
        <w:rPr>
          <w:rFonts w:hint="eastAsia" w:ascii="宋体" w:hAnsi="宋体"/>
          <w:color w:val="auto"/>
          <w:sz w:val="24"/>
          <w:szCs w:val="24"/>
          <w:lang w:val="en-US" w:eastAsia="zh-CN"/>
        </w:rPr>
        <w:t>0</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en-US" w:eastAsia="zh-CN"/>
        </w:rPr>
        <w:t>十二</w:t>
      </w:r>
      <w:r>
        <w:rPr>
          <w:rFonts w:hint="eastAsia" w:ascii="宋体" w:hAnsi="宋体"/>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单价100万元(含)以上设备0台(套)。</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auto"/>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color w:val="auto"/>
          <w:sz w:val="24"/>
          <w:szCs w:val="24"/>
          <w:lang w:val="zh-CN" w:eastAsia="zh-CN"/>
        </w:rPr>
      </w:pPr>
      <w:r>
        <w:rPr>
          <w:rFonts w:hint="eastAsia" w:ascii="宋体" w:hAnsi="宋体"/>
          <w:b/>
          <w:color w:val="auto"/>
          <w:sz w:val="24"/>
          <w:szCs w:val="24"/>
          <w:lang w:val="zh-CN" w:eastAsia="zh-CN"/>
        </w:rPr>
        <w:t>第四部分</w:t>
      </w:r>
      <w:r>
        <w:rPr>
          <w:rFonts w:hint="eastAsia" w:ascii="宋体" w:hAnsi="宋体"/>
          <w:b/>
          <w:color w:val="auto"/>
          <w:sz w:val="24"/>
          <w:szCs w:val="24"/>
          <w:lang w:val="en-US" w:eastAsia="zh-CN"/>
        </w:rPr>
        <w:t xml:space="preserve">  </w:t>
      </w:r>
      <w:r>
        <w:rPr>
          <w:rFonts w:hint="eastAsia" w:ascii="宋体" w:hAnsi="宋体"/>
          <w:b/>
          <w:color w:val="auto"/>
          <w:sz w:val="24"/>
          <w:szCs w:val="24"/>
          <w:lang w:val="zh-CN" w:eastAsia="zh-CN"/>
        </w:rPr>
        <w:t>预算绩效情况说明</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一、预算绩效管理工作开展情况</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rPr>
        <w:t>本单位未开展预算绩效管理</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三、部门绩效评价结果</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主管部门需随决算公开部门评价(含委托第三方对部门政策或项目开展重点绩效评价的)报告或案例,可以附件形式附后。</w:t>
      </w:r>
    </w:p>
    <w:p>
      <w:pPr>
        <w:spacing w:before="100" w:beforeLines="0" w:after="100" w:afterLines="0"/>
        <w:jc w:val="left"/>
        <w:rPr>
          <w:rFonts w:hint="eastAsia" w:ascii="宋体" w:hAnsi="宋体"/>
          <w:color w:val="auto"/>
          <w:sz w:val="24"/>
          <w:szCs w:val="24"/>
          <w:lang w:val="zh-CN" w:eastAsia="zh-CN"/>
        </w:rPr>
      </w:pPr>
      <w:r>
        <w:rPr>
          <w:rFonts w:hint="eastAsia" w:ascii="宋体" w:hAnsi="宋体"/>
          <w:color w:val="auto"/>
          <w:sz w:val="24"/>
          <w:szCs w:val="24"/>
          <w:lang w:val="zh-CN" w:eastAsia="zh-CN"/>
        </w:rPr>
        <w:t>第五部分</w:t>
      </w:r>
      <w:r>
        <w:rPr>
          <w:rFonts w:hint="eastAsia" w:ascii="宋体" w:hAnsi="宋体"/>
          <w:color w:val="auto"/>
          <w:sz w:val="24"/>
          <w:szCs w:val="24"/>
          <w:lang w:val="en-US" w:eastAsia="zh-CN"/>
        </w:rPr>
        <w:t xml:space="preserve">  </w:t>
      </w:r>
      <w:r>
        <w:rPr>
          <w:rFonts w:hint="eastAsia" w:ascii="宋体" w:hAnsi="宋体"/>
          <w:color w:val="auto"/>
          <w:sz w:val="24"/>
          <w:szCs w:val="24"/>
          <w:lang w:val="zh-CN" w:eastAsia="zh-CN"/>
        </w:rPr>
        <w:t>名词解释</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一、财政拨款收入：指本年度从同级财政部门取得的财政拨款,包括一般公共预算财政拨款、政府性基金预算财政拨款和国有资本经营预算财政拨款。</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二、事业收入：指事业单位开展专业业务活动及其辅助活动取得的收入。</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三、经营收入：指事业单位在专业业务活动及其辅助活动之外开展非独立核算经营活动取得的收入。</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四、其他收入：指除上述“财政拨款收入”“事业收入”、“经营收入”以外的收入。</w:t>
      </w:r>
    </w:p>
    <w:p>
      <w:pPr>
        <w:spacing w:before="100" w:beforeLines="0" w:after="100" w:afterLines="0"/>
        <w:jc w:val="left"/>
        <w:rPr>
          <w:rFonts w:hint="eastAsia" w:ascii="宋体" w:hAnsi="宋体" w:eastAsia="宋体" w:cs="宋体"/>
          <w:b w:val="0"/>
          <w:bCs w:val="0"/>
          <w:color w:val="auto"/>
          <w:sz w:val="24"/>
          <w:szCs w:val="24"/>
          <w:lang w:val="zh-CN"/>
        </w:rPr>
      </w:pPr>
      <w:r>
        <w:rPr>
          <w:rFonts w:hint="eastAsia" w:ascii="宋体" w:hAnsi="宋体"/>
          <w:color w:val="auto"/>
          <w:sz w:val="24"/>
          <w:szCs w:val="24"/>
          <w:lang w:val="zh-CN"/>
        </w:rPr>
        <w:t>五、使用非财政拨款结余（含专用结余）：指事业单位按照预算管理要求使用非财</w:t>
      </w:r>
      <w:r>
        <w:rPr>
          <w:rFonts w:hint="eastAsia" w:ascii="宋体" w:hAnsi="宋体" w:eastAsia="宋体" w:cs="宋体"/>
          <w:b w:val="0"/>
          <w:bCs w:val="0"/>
          <w:color w:val="auto"/>
          <w:sz w:val="24"/>
          <w:szCs w:val="24"/>
          <w:lang w:val="zh-CN"/>
        </w:rPr>
        <w:t>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136BC"/>
    <w:multiLevelType w:val="singleLevel"/>
    <w:tmpl w:val="ADA136BC"/>
    <w:lvl w:ilvl="0" w:tentative="0">
      <w:start w:val="7"/>
      <w:numFmt w:val="chineseCounting"/>
      <w:suff w:val="nothing"/>
      <w:lvlText w:val="%1、"/>
      <w:lvlJc w:val="left"/>
      <w:rPr>
        <w:rFonts w:hint="eastAsia"/>
      </w:rPr>
    </w:lvl>
  </w:abstractNum>
  <w:abstractNum w:abstractNumId="1">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abstractNum w:abstractNumId="3">
    <w:nsid w:val="2B386A37"/>
    <w:multiLevelType w:val="singleLevel"/>
    <w:tmpl w:val="2B386A37"/>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NTA0YjQ0ZjdlZDkyY2JkN2I2NjU1MGIxZmYxY2QifQ=="/>
  </w:docVars>
  <w:rsids>
    <w:rsidRoot w:val="00000000"/>
    <w:rsid w:val="2C810AF0"/>
    <w:rsid w:val="48965ED0"/>
    <w:rsid w:val="49691B55"/>
    <w:rsid w:val="60842240"/>
    <w:rsid w:val="64533A93"/>
    <w:rsid w:val="6A6B0B13"/>
    <w:rsid w:val="73DF197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1"/>
    <w:autoRedefine/>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table" w:styleId="4">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Body text|1"/>
    <w:basedOn w:val="1"/>
    <w:autoRedefine/>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0e521ff7-ef8f-4e71-8726-e5dc8495e69e}">
  <ds:schemaRefs/>
</ds:datastoreItem>
</file>

<file path=customXml/itemProps2.xml><?xml version="1.0" encoding="utf-8"?>
<ds:datastoreItem xmlns:ds="http://schemas.openxmlformats.org/officeDocument/2006/customXml" ds:itemID="{18222b9f-0a47-431b-8c44-58e98754e061}">
  <ds:schemaRefs/>
</ds:datastoreItem>
</file>

<file path=customXml/itemProps3.xml><?xml version="1.0" encoding="utf-8"?>
<ds:datastoreItem xmlns:ds="http://schemas.openxmlformats.org/officeDocument/2006/customXml" ds:itemID="{618de8ef-7e6a-4b72-be75-40995f970461}">
  <ds:schemaRefs/>
</ds:datastoreItem>
</file>

<file path=customXml/itemProps4.xml><?xml version="1.0" encoding="utf-8"?>
<ds:datastoreItem xmlns:ds="http://schemas.openxmlformats.org/officeDocument/2006/customXml" ds:itemID="{4e98ad23-0f99-4ce3-9590-bab100c48900}">
  <ds:schemaRefs/>
</ds:datastoreItem>
</file>

<file path=customXml/itemProps5.xml><?xml version="1.0" encoding="utf-8"?>
<ds:datastoreItem xmlns:ds="http://schemas.openxmlformats.org/officeDocument/2006/customXml" ds:itemID="{a61e4739-2390-4b5f-8ceb-a58c03599e03}">
  <ds:schemaRefs/>
</ds:datastoreItem>
</file>

<file path=customXml/itemProps6.xml><?xml version="1.0" encoding="utf-8"?>
<ds:datastoreItem xmlns:ds="http://schemas.openxmlformats.org/officeDocument/2006/customXml" ds:itemID="{04202b50-5e4d-4628-b76f-258543b2da32}">
  <ds:schemaRefs/>
</ds:datastoreItem>
</file>

<file path=customXml/itemProps7.xml><?xml version="1.0" encoding="utf-8"?>
<ds:datastoreItem xmlns:ds="http://schemas.openxmlformats.org/officeDocument/2006/customXml" ds:itemID="{a206c619-005e-433d-9dee-bdfee493c5d0}">
  <ds:schemaRefs/>
</ds:datastoreItem>
</file>

<file path=customXml/itemProps8.xml><?xml version="1.0" encoding="utf-8"?>
<ds:datastoreItem xmlns:ds="http://schemas.openxmlformats.org/officeDocument/2006/customXml" ds:itemID="{b690cf4f-00c7-4224-9848-d28b4af127e6}">
  <ds:schemaRefs/>
</ds:datastoreItem>
</file>

<file path=customXml/itemProps9.xml><?xml version="1.0" encoding="utf-8"?>
<ds:datastoreItem xmlns:ds="http://schemas.openxmlformats.org/officeDocument/2006/customXml" ds:itemID="{0f20fe87-0703-4367-a8fe-bd40bc63ca6e}">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0</TotalTime>
  <ScaleCrop>false</ScaleCrop>
  <LinksUpToDate>false</LinksUpToDate>
  <CharactersWithSpaces>19293</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寒冰</cp:lastModifiedBy>
  <dcterms:modified xsi:type="dcterms:W3CDTF">2024-08-22T06:42:36Z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9E37E467B434400BA6CC4330970A9250_13</vt:lpwstr>
  </property>
</Properties>
</file>