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东乡族自治县林家遗址文物保护研究所部门决算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numPr>
          <w:ilvl w:val="0"/>
          <w:numId w:val="1"/>
        </w:num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sz w:val="24"/>
          <w:szCs w:val="24"/>
          <w:lang w:val="en-US" w:eastAsia="zh-CN"/>
        </w:rPr>
        <w:t xml:space="preserve">  </w:t>
      </w:r>
      <w:r>
        <w:rPr>
          <w:rFonts w:hint="eastAsia" w:ascii="宋体" w:hAnsi="宋体"/>
          <w:b/>
          <w:sz w:val="24"/>
          <w:szCs w:val="24"/>
          <w:lang w:val="zh-CN"/>
        </w:rPr>
        <w:t>第二部分2023年度部门决算表</w:t>
      </w:r>
    </w:p>
    <w:p>
      <w:pPr>
        <w:numPr>
          <w:ilvl w:val="0"/>
          <w:numId w:val="2"/>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收入支出决算总表</w:t>
      </w:r>
    </w:p>
    <w:p>
      <w:pPr>
        <w:numPr>
          <w:ilvl w:val="0"/>
          <w:numId w:val="2"/>
        </w:numPr>
        <w:spacing w:before="100" w:beforeLines="0" w:after="100" w:afterLines="0"/>
        <w:ind w:left="0" w:leftChars="0" w:firstLine="0" w:firstLineChars="0"/>
        <w:jc w:val="left"/>
        <w:rPr>
          <w:rFonts w:hint="eastAsia" w:ascii="宋体" w:hAnsi="宋体"/>
          <w:sz w:val="24"/>
          <w:szCs w:val="24"/>
          <w:lang w:val="zh-CN"/>
        </w:rPr>
      </w:pPr>
      <w:r>
        <w:rPr>
          <w:rFonts w:hint="eastAsia" w:ascii="宋体" w:hAnsi="宋体"/>
          <w:sz w:val="24"/>
          <w:szCs w:val="24"/>
          <w:lang w:val="zh-CN"/>
        </w:rPr>
        <w:t>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numPr>
          <w:ilvl w:val="0"/>
          <w:numId w:val="3"/>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both"/>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numPr>
          <w:ilvl w:val="0"/>
          <w:numId w:val="0"/>
        </w:num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(一)贯彻执行中央、省、州关于文物工作“保护为主、抢救第一、合理利用、加强管理”的路线、方针政策及有关法律法规。</w:t>
      </w:r>
    </w:p>
    <w:p>
      <w:pPr>
        <w:numPr>
          <w:ilvl w:val="0"/>
          <w:numId w:val="0"/>
        </w:num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(二)研究制定林家遗址发展的战略目标和政策措施，编制并组织实施林家遗址发展的长期规划和工作计划。</w:t>
      </w:r>
    </w:p>
    <w:p>
      <w:pPr>
        <w:numPr>
          <w:ilvl w:val="0"/>
          <w:numId w:val="0"/>
        </w:num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(三)划定文物保护单位的保护范围;研究提出划定文物保护单位周围的建设控制地带的意见;审核建设控制地带内的建设工程。</w:t>
      </w:r>
    </w:p>
    <w:p>
      <w:pPr>
        <w:numPr>
          <w:ilvl w:val="0"/>
          <w:numId w:val="0"/>
        </w:num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(四)负责文物建筑修缮、抢险加固等工程审报工作，并组织验收;</w:t>
      </w:r>
    </w:p>
    <w:p>
      <w:pPr>
        <w:numPr>
          <w:ilvl w:val="0"/>
          <w:numId w:val="0"/>
        </w:num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(五)协调处理林家遗址文物保护、管理、抢救、发掘、研究、宣传、利用等业务工作。</w:t>
      </w:r>
    </w:p>
    <w:p>
      <w:pPr>
        <w:numPr>
          <w:ilvl w:val="0"/>
          <w:numId w:val="0"/>
        </w:num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(六)协调配合国家、省、州文物部门组织的文物保护、考古发掘等方面的工作。</w:t>
      </w:r>
    </w:p>
    <w:p>
      <w:pPr>
        <w:numPr>
          <w:ilvl w:val="0"/>
          <w:numId w:val="0"/>
        </w:num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(七)研究处理文物保护的重大问题;对查处盗窃、盗掘、破坏、走私和非法经营文物的大案要案提出文物方面的专业性意见。</w:t>
      </w:r>
    </w:p>
    <w:p>
      <w:pPr>
        <w:numPr>
          <w:ilvl w:val="0"/>
          <w:numId w:val="0"/>
        </w:numPr>
        <w:spacing w:before="100" w:beforeLines="0" w:after="100" w:afterLines="0"/>
        <w:jc w:val="left"/>
        <w:rPr>
          <w:rFonts w:hint="eastAsia" w:ascii="宋体" w:hAnsi="宋体"/>
          <w:sz w:val="24"/>
          <w:szCs w:val="24"/>
          <w:lang w:val="en-US" w:eastAsia="zh-CN"/>
        </w:rPr>
      </w:pPr>
      <w:r>
        <w:rPr>
          <w:rFonts w:hint="eastAsia" w:ascii="宋体" w:hAnsi="宋体"/>
          <w:sz w:val="24"/>
          <w:szCs w:val="24"/>
          <w:lang w:val="en-US" w:eastAsia="zh-CN"/>
        </w:rPr>
        <w:t>(八)规划、指导本系统专业人员培训工作;组织开展文物科学研究和文物科学保护工作。</w:t>
      </w:r>
    </w:p>
    <w:p>
      <w:pPr>
        <w:numPr>
          <w:ilvl w:val="0"/>
          <w:numId w:val="0"/>
        </w:num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en-US" w:eastAsia="zh-CN"/>
        </w:rPr>
        <w:t>(九)完成上级交办的其它事项。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en-US" w:eastAsia="zh-CN"/>
        </w:rPr>
        <w:t>6个：办公室、政策宣教室、研究资料室、规划建设室、安全保卫室、纪检监察室；在职17人，其中编制人员13人。</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tbl>
      <w:tblPr>
        <w:tblStyle w:val="2"/>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34"/>
        <w:gridCol w:w="779"/>
        <w:gridCol w:w="1822"/>
        <w:gridCol w:w="4333"/>
        <w:gridCol w:w="809"/>
        <w:gridCol w:w="1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35"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035"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259,625.25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102,541.76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2,581,996.44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2,581,996.44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tbl>
      <w:tblPr>
        <w:tblStyle w:val="2"/>
        <w:tblW w:w="17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4176"/>
        <w:gridCol w:w="1790"/>
        <w:gridCol w:w="1790"/>
        <w:gridCol w:w="1755"/>
        <w:gridCol w:w="1755"/>
        <w:gridCol w:w="1755"/>
        <w:gridCol w:w="175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2,013,362.00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2,013,362.00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18,297.43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18,297.43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247,625.25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247,625.25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102,541.76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102,541.76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166,170.00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166,170.00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tbl>
      <w:tblPr>
        <w:tblStyle w:val="2"/>
        <w:tblW w:w="16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4176"/>
        <w:gridCol w:w="1788"/>
        <w:gridCol w:w="1788"/>
        <w:gridCol w:w="1772"/>
        <w:gridCol w:w="1735"/>
        <w:gridCol w:w="1735"/>
        <w:gridCol w:w="1735"/>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2,496,496.44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85,500.00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2,013,362.00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1,961,862.00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18,297.43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18,297.43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247,625.25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247,625.25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102,541.76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102,541.76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166,170.00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166,170.00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tbl>
      <w:tblPr>
        <w:tblStyle w:val="2"/>
        <w:tblW w:w="165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544"/>
        <w:gridCol w:w="1680"/>
        <w:gridCol w:w="4221"/>
        <w:gridCol w:w="592"/>
        <w:gridCol w:w="1807"/>
        <w:gridCol w:w="1891"/>
        <w:gridCol w:w="1245"/>
        <w:gridCol w:w="1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520"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11070" w:type="dxa"/>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27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18,297.43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18,297.43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2,013,362.00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2,013,362.00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259,625.25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259,625.25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102,541.76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102,541.76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166,170.00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166,170.00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tbl>
      <w:tblPr>
        <w:tblStyle w:val="2"/>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4176"/>
        <w:gridCol w:w="2179"/>
        <w:gridCol w:w="2179"/>
        <w:gridCol w:w="2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2,581,996.44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2,496,496.44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2,013,362.00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1,961,862.00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18,297.43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18,297.43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247,625.25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247,625.25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102,541.76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102,541.76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166,170.00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166,170.00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tbl>
      <w:tblPr>
        <w:tblStyle w:val="2"/>
        <w:tblW w:w="1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3525"/>
        <w:gridCol w:w="1769"/>
        <w:gridCol w:w="766"/>
        <w:gridCol w:w="2775"/>
        <w:gridCol w:w="1800"/>
        <w:gridCol w:w="766"/>
        <w:gridCol w:w="4515"/>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60" w:type="dxa"/>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2360" w:type="dxa"/>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52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7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3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515"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2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77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3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51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2,398,199.01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98,297.43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789,422.34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829,735.45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262,704.21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247,625.25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100,597.76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166,170.00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54,000.00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18,297.43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2,398,199.01</w:t>
            </w:r>
          </w:p>
        </w:tc>
        <w:tc>
          <w:tcPr>
            <w:tcW w:w="0" w:type="auto"/>
            <w:gridSpan w:val="5"/>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98,297.43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tbl>
      <w:tblPr>
        <w:tblStyle w:val="2"/>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680"/>
        <w:gridCol w:w="1680"/>
        <w:gridCol w:w="1680"/>
        <w:gridCol w:w="1680"/>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tbl>
      <w:tblPr>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90"/>
        <w:gridCol w:w="3930"/>
        <w:gridCol w:w="1680"/>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04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68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注：本表反映部门本年度国有资本经营预算财政拨款支出情况。</w:t>
            </w:r>
          </w:p>
        </w:tc>
      </w:tr>
    </w:tbl>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W w:w="16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10"/>
        <w:gridCol w:w="1410"/>
        <w:gridCol w:w="1410"/>
        <w:gridCol w:w="1410"/>
        <w:gridCol w:w="1410"/>
        <w:gridCol w:w="1410"/>
        <w:gridCol w:w="1410"/>
        <w:gridCol w:w="1410"/>
        <w:gridCol w:w="1410"/>
        <w:gridCol w:w="1410"/>
        <w:gridCol w:w="141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8460" w:type="dxa"/>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8460" w:type="dxa"/>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423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4230"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410"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41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410" w:type="dxa"/>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920" w:type="dxa"/>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258.20万元。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增加8.25万元,增长3.3%,主要原因是工资增加。</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2023年度收入合计258.20万元,其中：财政拨款收入258.20万元,占100.00%。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2023年度支出合计258.20万元,其中：基本支出249.65万元,占96.69%；项目支出8.55万元,占3.31%。</w:t>
      </w:r>
      <w:bookmarkStart w:id="0" w:name="_GoBack"/>
      <w:bookmarkEnd w:id="0"/>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258.20万元。与</w:t>
      </w:r>
      <w:r>
        <w:rPr>
          <w:rFonts w:hint="eastAsia" w:ascii="宋体" w:hAnsi="宋体"/>
          <w:color w:val="auto"/>
          <w:sz w:val="24"/>
          <w:szCs w:val="24"/>
          <w:lang w:val="en-US"/>
        </w:rPr>
        <w:t>上</w:t>
      </w:r>
      <w:r>
        <w:rPr>
          <w:rFonts w:hint="eastAsia" w:ascii="宋体" w:hAnsi="宋体"/>
          <w:color w:val="auto"/>
          <w:sz w:val="24"/>
          <w:szCs w:val="24"/>
          <w:lang w:val="zh-CN"/>
        </w:rPr>
        <w:t>年相比,各增加8.25万元,增长3.3%。主要原因是工资资金。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2023年度一般公共预算财政拨款支出258.20万元,较上年决算数增加8.25万元,增长3.3%。主要原因是工资增加。</w:t>
      </w:r>
    </w:p>
    <w:p>
      <w:pPr>
        <w:numPr>
          <w:ilvl w:val="0"/>
          <w:numId w:val="4"/>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一般公共预算财政拨款支出决算结构情况</w:t>
      </w:r>
    </w:p>
    <w:p>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w:t>
      </w:r>
      <w:r>
        <w:rPr>
          <w:rFonts w:hint="eastAsia" w:ascii="宋体" w:hAnsi="宋体"/>
          <w:color w:val="auto"/>
          <w:sz w:val="24"/>
          <w:szCs w:val="24"/>
          <w:lang w:val="zh-CN"/>
        </w:rPr>
        <w:t>258.20万元，主要用于以下方面：一般公共服务支出1.83万元,占0.71%；文化旅游体育与传媒支出201.34万元，占77.98%；社会保障和就业支出25.96万元,占10.06%；卫生健康支出10.25万元,占3.97%；农林水支出2.20万元,占0.85%；住房保障支出16.62万元,占6.44%。</w:t>
      </w:r>
    </w:p>
    <w:p>
      <w:pPr>
        <w:numPr>
          <w:ilvl w:val="0"/>
          <w:numId w:val="4"/>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auto"/>
          <w:sz w:val="24"/>
          <w:szCs w:val="24"/>
          <w:lang w:val="en-US" w:eastAsia="zh-CN"/>
        </w:rPr>
        <w:t>2023年度一般公共预算财政拨款支出年初预算为</w:t>
      </w:r>
      <w:r>
        <w:rPr>
          <w:rFonts w:hint="eastAsia" w:ascii="宋体" w:hAnsi="宋体"/>
          <w:color w:val="auto"/>
          <w:sz w:val="24"/>
          <w:szCs w:val="24"/>
          <w:lang w:val="zh-CN"/>
        </w:rPr>
        <w:t>255.67万元,支出决算为258.20万元,完成年初预算的100.99%。其中：</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年初预算数为3.05万元,支出决算为1.83万元,完成年初预算的60.0%,决算数小于预算数的主要原因是养老金结转。</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年初预算数为198.72万元,支出决算为201.34万元,完成年初预算的101.31%,决算数大于预算数的主要原因是工资增加</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年初预算数为25.07万元,支出决算为25.96万元,完成年初预算的103.55%,决算数大于预算数的主要原因是工资增加。</w:t>
      </w:r>
    </w:p>
    <w:p>
      <w:pPr>
        <w:spacing w:before="100" w:beforeLines="0" w:after="100" w:afterLines="0"/>
        <w:jc w:val="left"/>
        <w:rPr>
          <w:rFonts w:hint="eastAsia" w:ascii="宋体" w:hAnsi="宋体"/>
          <w:color w:val="auto"/>
          <w:sz w:val="24"/>
          <w:szCs w:val="24"/>
          <w:highlight w:val="red"/>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年初预算数为10.25万元,支出决算为10.25万元,完成年初预算的100.0%。</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年初预算数为18.57万元,支出决算为16.62万元,完成年初预算的89.47%,决算数小于预算数的主要原因是人员退休。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2023年度一般公共预算财政拨款基本支出249.65万元。其中：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239.82万元,较上年决算数增加0.92万元,增长0.39%,主要原因是工资增加。</w:t>
      </w:r>
      <w:r>
        <w:rPr>
          <w:rFonts w:hint="eastAsia" w:ascii="宋体" w:hAnsi="宋体"/>
          <w:color w:val="auto"/>
          <w:sz w:val="24"/>
          <w:szCs w:val="24"/>
          <w:lang w:val="zh-CN"/>
        </w:rPr>
        <w:t>人员经费用途主要包括：基本工资、津贴补贴、奖金、社会保障缴费。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9.83万元,较上年决算数减少1.23万元,下降11.11%,主要原因是人员退休。</w:t>
      </w:r>
      <w:r>
        <w:rPr>
          <w:rFonts w:hint="eastAsia" w:ascii="宋体" w:hAnsi="宋体"/>
          <w:color w:val="auto"/>
          <w:sz w:val="24"/>
          <w:szCs w:val="24"/>
          <w:lang w:val="zh-CN"/>
        </w:rPr>
        <w:t>公用经费用途主要包括办公费、印刷费、咨询费、手续费。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我单位属于事业单位,财政未保障我单位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我单位2023年度无机关运行相关经费。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w:t>
      </w:r>
      <w:r>
        <w:rPr>
          <w:rFonts w:hint="eastAsia" w:ascii="宋体" w:hAnsi="宋体"/>
          <w:color w:val="auto"/>
          <w:sz w:val="24"/>
          <w:szCs w:val="24"/>
          <w:lang w:val="en-US" w:eastAsia="zh-CN"/>
        </w:rPr>
        <w:t>0</w:t>
      </w:r>
      <w:r>
        <w:rPr>
          <w:rFonts w:hint="eastAsia" w:ascii="宋体" w:hAnsi="宋体"/>
          <w:color w:val="auto"/>
          <w:sz w:val="24"/>
          <w:szCs w:val="24"/>
          <w:lang w:val="zh-CN"/>
        </w:rPr>
        <w:t>辆,其中,副部(省)级及以上领导用车辆、主要领导干部用车辆、机要通信用车辆、应急保障用车辆、执法执勤用车辆,特种专业技术用车辆,离退休干部用车辆,其他用车辆</w:t>
      </w:r>
      <w:r>
        <w:rPr>
          <w:rFonts w:hint="eastAsia" w:ascii="宋体" w:hAnsi="宋体"/>
          <w:color w:val="FF0000"/>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numPr>
          <w:ilvl w:val="0"/>
          <w:numId w:val="5"/>
        </w:numPr>
        <w:spacing w:before="100" w:beforeLines="0" w:after="100" w:afterLines="0"/>
        <w:jc w:val="center"/>
        <w:rPr>
          <w:rFonts w:hint="eastAsia" w:ascii="宋体" w:hAnsi="宋体"/>
          <w:color w:val="auto"/>
          <w:sz w:val="24"/>
          <w:szCs w:val="24"/>
          <w:lang w:val="zh-CN"/>
        </w:rPr>
      </w:pP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numPr>
          <w:numId w:val="0"/>
        </w:numPr>
        <w:spacing w:before="100" w:beforeLines="0" w:after="100" w:afterLines="0"/>
        <w:jc w:val="both"/>
        <w:rPr>
          <w:rFonts w:hint="eastAsia" w:ascii="宋体" w:hAnsi="宋体"/>
          <w:color w:val="auto"/>
          <w:sz w:val="24"/>
          <w:szCs w:val="24"/>
          <w:lang w:val="zh-CN"/>
        </w:rPr>
      </w:pPr>
      <w:r>
        <w:rPr>
          <w:rFonts w:hint="eastAsia" w:ascii="宋体" w:hAnsi="宋体"/>
          <w:color w:val="auto"/>
          <w:sz w:val="24"/>
          <w:szCs w:val="24"/>
          <w:lang w:val="zh-CN"/>
        </w:rPr>
        <w:t>本单位未开展预算绩效管理</w:t>
      </w:r>
    </w:p>
    <w:p>
      <w:pPr>
        <w:spacing w:before="100" w:beforeLines="0" w:after="100" w:afterLines="0"/>
        <w:jc w:val="center"/>
        <w:rPr>
          <w:rFonts w:hint="eastAsia" w:ascii="宋体" w:hAnsi="宋体" w:eastAsia="宋体" w:cs="宋体"/>
          <w:color w:val="auto"/>
          <w:sz w:val="24"/>
          <w:szCs w:val="24"/>
          <w:lang w:val="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auto"/>
          <w:sz w:val="24"/>
          <w:szCs w:val="24"/>
          <w:lang w:val="zh-CN"/>
        </w:rPr>
        <w:t>……</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64200"/>
    <w:multiLevelType w:val="singleLevel"/>
    <w:tmpl w:val="89D64200"/>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137144CF"/>
    <w:multiLevelType w:val="singleLevel"/>
    <w:tmpl w:val="137144CF"/>
    <w:lvl w:ilvl="0" w:tentative="0">
      <w:start w:val="4"/>
      <w:numFmt w:val="chineseCounting"/>
      <w:suff w:val="space"/>
      <w:lvlText w:val="第%1部分"/>
      <w:lvlJc w:val="left"/>
      <w:rPr>
        <w:rFonts w:hint="eastAsia"/>
      </w:rPr>
    </w:lvl>
  </w:abstractNum>
  <w:abstractNum w:abstractNumId="3">
    <w:nsid w:val="2A3AEBD4"/>
    <w:multiLevelType w:val="singleLevel"/>
    <w:tmpl w:val="2A3AEBD4"/>
    <w:lvl w:ilvl="0" w:tentative="0">
      <w:start w:val="1"/>
      <w:numFmt w:val="chineseCounting"/>
      <w:suff w:val="nothing"/>
      <w:lvlText w:val="%1、"/>
      <w:lvlJc w:val="left"/>
      <w:rPr>
        <w:rFonts w:hint="eastAsia"/>
      </w:rPr>
    </w:lvl>
  </w:abstractNum>
  <w:abstractNum w:abstractNumId="4">
    <w:nsid w:val="44407B4D"/>
    <w:multiLevelType w:val="singleLevel"/>
    <w:tmpl w:val="44407B4D"/>
    <w:lvl w:ilvl="0" w:tentative="0">
      <w:start w:val="1"/>
      <w:numFmt w:val="chineseCounting"/>
      <w:suff w:val="nothing"/>
      <w:lvlText w:val="%1、"/>
      <w:lvlJc w:val="left"/>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MzM3MjRmYmJlN2I0MmQ1OWY0OGYzZTA2NzYxNjUifQ=="/>
  </w:docVars>
  <w:rsids>
    <w:rsidRoot w:val="00000000"/>
    <w:rsid w:val="048B7E03"/>
    <w:rsid w:val="10790FE5"/>
    <w:rsid w:val="747B74B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Props1.xml><?xml version="1.0" encoding="utf-8"?>
<ds:datastoreItem xmlns:ds="http://schemas.openxmlformats.org/officeDocument/2006/customXml" ds:itemID="{854d30d0-16b5-4652-aeae-b82bc897e089}">
  <ds:schemaRefs/>
</ds:datastoreItem>
</file>

<file path=customXml/itemProps2.xml><?xml version="1.0" encoding="utf-8"?>
<ds:datastoreItem xmlns:ds="http://schemas.openxmlformats.org/officeDocument/2006/customXml" ds:itemID="{357835c7-3b46-41a9-9d9c-d7e3c26c0928}">
  <ds:schemaRefs/>
</ds:datastoreItem>
</file>

<file path=customXml/itemProps3.xml><?xml version="1.0" encoding="utf-8"?>
<ds:datastoreItem xmlns:ds="http://schemas.openxmlformats.org/officeDocument/2006/customXml" ds:itemID="{f4c8c1d2-4efd-43e3-bf55-a50117ca88cc}">
  <ds:schemaRefs/>
</ds:datastoreItem>
</file>

<file path=customXml/itemProps4.xml><?xml version="1.0" encoding="utf-8"?>
<ds:datastoreItem xmlns:ds="http://schemas.openxmlformats.org/officeDocument/2006/customXml" ds:itemID="{336b8d8d-321c-4043-9dbd-49a03bed6755}">
  <ds:schemaRefs/>
</ds:datastoreItem>
</file>

<file path=customXml/itemProps5.xml><?xml version="1.0" encoding="utf-8"?>
<ds:datastoreItem xmlns:ds="http://schemas.openxmlformats.org/officeDocument/2006/customXml" ds:itemID="{d86a52a2-ee3c-498c-a4a7-73cedcc6880d}">
  <ds:schemaRefs/>
</ds:datastoreItem>
</file>

<file path=customXml/itemProps6.xml><?xml version="1.0" encoding="utf-8"?>
<ds:datastoreItem xmlns:ds="http://schemas.openxmlformats.org/officeDocument/2006/customXml" ds:itemID="{c92e7643-e935-468f-8629-bf01c7620a14}">
  <ds:schemaRefs/>
</ds:datastoreItem>
</file>

<file path=customXml/itemProps7.xml><?xml version="1.0" encoding="utf-8"?>
<ds:datastoreItem xmlns:ds="http://schemas.openxmlformats.org/officeDocument/2006/customXml" ds:itemID="{44baf705-483b-4c23-ba17-b3c9049063ae}">
  <ds:schemaRefs/>
</ds:datastoreItem>
</file>

<file path=customXml/itemProps8.xml><?xml version="1.0" encoding="utf-8"?>
<ds:datastoreItem xmlns:ds="http://schemas.openxmlformats.org/officeDocument/2006/customXml" ds:itemID="{f621a165-c1ae-47e5-8f47-36ff4b5ae734}">
  <ds:schemaRefs/>
</ds:datastoreItem>
</file>

<file path=customXml/itemProps9.xml><?xml version="1.0" encoding="utf-8"?>
<ds:datastoreItem xmlns:ds="http://schemas.openxmlformats.org/officeDocument/2006/customXml" ds:itemID="{ac2631b7-470d-46a5-8f3a-000f316d911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91</TotalTime>
  <ScaleCrop>false</ScaleCrop>
  <LinksUpToDate>false</LinksUpToDate>
  <CharactersWithSpaces>19281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2024-08-16T09:30:24Z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E06D266F13EA4024808CEEADBAD91186_11</vt:lpwstr>
  </property>
</Properties>
</file>