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B4D75">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44B3FE04">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37AB93D5">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50EB5461">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4D6DF053">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29C792A7">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56D8317F">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06EF8DBE">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1557ABC2">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3AA12CAE">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2F80B9B3">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5136A1B9">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FF779E5">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w:t>
      </w:r>
    </w:p>
    <w:p w14:paraId="2068B3F1">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东乡族自治县林草事业发展中心部门决算</w:t>
      </w:r>
    </w:p>
    <w:p w14:paraId="3B6D0A78">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38998CE0">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56DAF04A">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008F816D">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4A11E82F">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17286CF3">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47FE05D4">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0196CCBE">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15ED4699">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600A4992">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2BB37814">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4926B59">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0BF43141">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E9A1E44">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553B5170">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3C3F3323">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AA90554">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A92B7C6">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4117EC73">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目录</w:t>
      </w:r>
    </w:p>
    <w:p w14:paraId="295CEB92">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第一部分部门概况</w:t>
      </w:r>
    </w:p>
    <w:p w14:paraId="6A11F6E8">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一、部门职责</w:t>
      </w:r>
    </w:p>
    <w:p w14:paraId="0DEC9D75">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二、机构设置</w:t>
      </w:r>
    </w:p>
    <w:p w14:paraId="507FFC54">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第二部分2023年度部门决算表</w:t>
      </w:r>
    </w:p>
    <w:p w14:paraId="5C6A9EC2">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一、收入支出决算总表</w:t>
      </w:r>
    </w:p>
    <w:p w14:paraId="46E67D37">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二、收入决算表</w:t>
      </w:r>
    </w:p>
    <w:p w14:paraId="1979AB42">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三、支出决算表</w:t>
      </w:r>
    </w:p>
    <w:p w14:paraId="61478113">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四、财政拨款收入支出决算总表</w:t>
      </w:r>
    </w:p>
    <w:p w14:paraId="4FAB08AE">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五、一般公共预算财政拨款支出决算表</w:t>
      </w:r>
    </w:p>
    <w:p w14:paraId="1142A361">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六、一般公共预算财政拨款基本支出决算明细表</w:t>
      </w:r>
    </w:p>
    <w:p w14:paraId="2395D929">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七、政府性基金预算财政拨款收入支出决算表</w:t>
      </w:r>
    </w:p>
    <w:p w14:paraId="5F6E93F7">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八、国有资本经营预算财政拨款支出决算表</w:t>
      </w:r>
    </w:p>
    <w:p w14:paraId="5CCFFE28">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九、财政拨款</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三公</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经费支出决算表</w:t>
      </w:r>
    </w:p>
    <w:p w14:paraId="69645FD3">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第三部分2023年度部门决算情况说明</w:t>
      </w:r>
    </w:p>
    <w:p w14:paraId="03A5C5DB">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一、收入支出决算总体情况说明</w:t>
      </w:r>
    </w:p>
    <w:p w14:paraId="45CBCF0C">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二、收入决算情况说明</w:t>
      </w:r>
    </w:p>
    <w:p w14:paraId="23FE7F69">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三、支出决算情况说明</w:t>
      </w:r>
    </w:p>
    <w:p w14:paraId="3468C718">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四、财政拨款收入支出决算总体情况说明</w:t>
      </w:r>
    </w:p>
    <w:p w14:paraId="2A0556D0">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五、一般公共预算财政拨款支出决算情况说明</w:t>
      </w:r>
    </w:p>
    <w:p w14:paraId="139AFDE0">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六、一般公共预算财政拨款基本支出决算情况说明</w:t>
      </w:r>
    </w:p>
    <w:p w14:paraId="371F4BC7">
      <w:pPr>
        <w:spacing w:before="100" w:beforeLines="0" w:after="100" w:afterLines="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七、政府性基金预算财政拨款收支决算情况说明</w:t>
      </w:r>
    </w:p>
    <w:p w14:paraId="0A4FEA57">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八、国有资本经营预算财政拨款支出情况说明</w:t>
      </w:r>
    </w:p>
    <w:p w14:paraId="5F7BBD9D">
      <w:pPr>
        <w:spacing w:before="100" w:beforeLines="0" w:after="100" w:afterLine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九、财政拨款</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三公</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经费支出决算情况说明</w:t>
      </w:r>
    </w:p>
    <w:p w14:paraId="2B1CF3BF">
      <w:pPr>
        <w:spacing w:before="100" w:beforeLines="0" w:after="100" w:afterLines="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十、机关运行经费支出情况说明</w:t>
      </w:r>
    </w:p>
    <w:p w14:paraId="4F0BA8E5">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十一、政府采购支出情况说明</w:t>
      </w:r>
    </w:p>
    <w:p w14:paraId="1463CE75">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十二、国有资产占用情况说明</w:t>
      </w:r>
    </w:p>
    <w:p w14:paraId="417FD70A">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十三、其他需要说明的情况</w:t>
      </w:r>
    </w:p>
    <w:p w14:paraId="115FFEBA">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第四部分预算绩效情况说明</w:t>
      </w:r>
    </w:p>
    <w:p w14:paraId="6415CB42">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第五部分名词解释</w:t>
      </w:r>
    </w:p>
    <w:p w14:paraId="1D91C727">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2EF461D">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44632A59">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04204A88">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72405B73">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6DA417E7">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0E30086A">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p>
    <w:p w14:paraId="37AA86C6">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第一部分部门概况</w:t>
      </w:r>
    </w:p>
    <w:p w14:paraId="283E5EBA">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一、部门职责</w:t>
      </w:r>
    </w:p>
    <w:p w14:paraId="4FD199FB">
      <w:pPr>
        <w:spacing w:before="100" w:beforeLines="0" w:after="100" w:afterLines="0"/>
        <w:ind w:firstLine="480" w:firstLineChars="200"/>
        <w:jc w:val="both"/>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主要行使</w:t>
      </w:r>
      <w:r>
        <w:rPr>
          <w:rFonts w:hint="eastAsia" w:ascii="宋体" w:hAnsi="宋体"/>
          <w:color w:val="000000" w:themeColor="text1"/>
          <w:sz w:val="24"/>
          <w:szCs w:val="24"/>
          <w:highlight w:val="none"/>
          <w:lang w:val="zh-CN" w:eastAsia="zh-CN"/>
          <w14:textFill>
            <w14:solidFill>
              <w14:schemeClr w14:val="tx1"/>
            </w14:solidFill>
          </w14:textFill>
        </w:rPr>
        <w:t>林业和</w:t>
      </w:r>
      <w:r>
        <w:rPr>
          <w:rFonts w:hint="eastAsia" w:ascii="宋体" w:hAnsi="宋体"/>
          <w:color w:val="000000" w:themeColor="text1"/>
          <w:sz w:val="24"/>
          <w:szCs w:val="24"/>
          <w:highlight w:val="none"/>
          <w:lang w:val="zh-CN"/>
          <w14:textFill>
            <w14:solidFill>
              <w14:schemeClr w14:val="tx1"/>
            </w14:solidFill>
          </w14:textFill>
        </w:rPr>
        <w:t>草原</w:t>
      </w:r>
      <w:r>
        <w:rPr>
          <w:rFonts w:hint="eastAsia" w:ascii="宋体" w:hAnsi="宋体"/>
          <w:color w:val="000000" w:themeColor="text1"/>
          <w:sz w:val="24"/>
          <w:szCs w:val="24"/>
          <w:highlight w:val="none"/>
          <w:lang w:val="zh-CN" w:eastAsia="zh-CN"/>
          <w14:textFill>
            <w14:solidFill>
              <w14:schemeClr w14:val="tx1"/>
            </w14:solidFill>
          </w14:textFill>
        </w:rPr>
        <w:t>资源管理保护及</w:t>
      </w:r>
      <w:r>
        <w:rPr>
          <w:rFonts w:hint="eastAsia" w:ascii="宋体" w:hAnsi="宋体"/>
          <w:color w:val="000000" w:themeColor="text1"/>
          <w:sz w:val="24"/>
          <w:szCs w:val="24"/>
          <w:highlight w:val="none"/>
          <w:lang w:val="zh-CN"/>
          <w14:textFill>
            <w14:solidFill>
              <w14:schemeClr w14:val="tx1"/>
            </w14:solidFill>
          </w14:textFill>
        </w:rPr>
        <w:t>草原监督管理等职责。</w:t>
      </w:r>
    </w:p>
    <w:p w14:paraId="381E6C7B">
      <w:pPr>
        <w:spacing w:before="100" w:beforeLines="0" w:after="100" w:afterLines="0"/>
        <w:ind w:firstLine="480" w:firstLineChars="200"/>
        <w:jc w:val="both"/>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贯彻落实党中央</w:t>
      </w:r>
      <w:r>
        <w:rPr>
          <w:rFonts w:hint="eastAsia" w:ascii="宋体" w:hAnsi="宋体"/>
          <w:color w:val="000000" w:themeColor="text1"/>
          <w:sz w:val="24"/>
          <w:szCs w:val="24"/>
          <w:highlight w:val="none"/>
          <w:lang w:val="zh-CN" w:eastAsia="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省州及县委关于</w:t>
      </w:r>
      <w:r>
        <w:rPr>
          <w:rFonts w:hint="eastAsia" w:ascii="宋体" w:hAnsi="宋体"/>
          <w:color w:val="000000" w:themeColor="text1"/>
          <w:sz w:val="24"/>
          <w:szCs w:val="24"/>
          <w:highlight w:val="none"/>
          <w:lang w:val="zh-CN" w:eastAsia="zh-CN"/>
          <w14:textFill>
            <w14:solidFill>
              <w14:schemeClr w14:val="tx1"/>
            </w14:solidFill>
          </w14:textFill>
        </w:rPr>
        <w:t>林业与草原</w:t>
      </w:r>
      <w:r>
        <w:rPr>
          <w:rFonts w:hint="eastAsia" w:ascii="宋体" w:hAnsi="宋体"/>
          <w:color w:val="000000" w:themeColor="text1"/>
          <w:sz w:val="24"/>
          <w:szCs w:val="24"/>
          <w:highlight w:val="none"/>
          <w:lang w:val="zh-CN"/>
          <w14:textFill>
            <w14:solidFill>
              <w14:schemeClr w14:val="tx1"/>
            </w14:solidFill>
          </w14:textFill>
        </w:rPr>
        <w:t>工作的方针政策和决策部署</w:t>
      </w:r>
      <w:r>
        <w:rPr>
          <w:rFonts w:hint="eastAsia" w:ascii="宋体" w:hAnsi="宋体"/>
          <w:color w:val="000000" w:themeColor="text1"/>
          <w:sz w:val="24"/>
          <w:szCs w:val="24"/>
          <w:highlight w:val="none"/>
          <w:lang w:val="zh-CN" w:eastAsia="zh-CN"/>
          <w14:textFill>
            <w14:solidFill>
              <w14:schemeClr w14:val="tx1"/>
            </w14:solidFill>
          </w14:textFill>
        </w:rPr>
        <w:t>，接受</w:t>
      </w:r>
      <w:r>
        <w:rPr>
          <w:rFonts w:hint="eastAsia" w:ascii="宋体" w:hAnsi="宋体"/>
          <w:color w:val="000000" w:themeColor="text1"/>
          <w:sz w:val="24"/>
          <w:szCs w:val="24"/>
          <w:highlight w:val="none"/>
          <w:lang w:val="en-US" w:eastAsia="zh-CN"/>
          <w14:textFill>
            <w14:solidFill>
              <w14:schemeClr w14:val="tx1"/>
            </w14:solidFill>
          </w14:textFill>
        </w:rPr>
        <w:t>县</w:t>
      </w:r>
      <w:r>
        <w:rPr>
          <w:rFonts w:hint="eastAsia" w:ascii="宋体" w:hAnsi="宋体"/>
          <w:color w:val="000000" w:themeColor="text1"/>
          <w:sz w:val="24"/>
          <w:szCs w:val="24"/>
          <w:highlight w:val="none"/>
          <w:lang w:val="zh-CN"/>
          <w14:textFill>
            <w14:solidFill>
              <w14:schemeClr w14:val="tx1"/>
            </w14:solidFill>
          </w14:textFill>
        </w:rPr>
        <w:t>自然资源</w:t>
      </w:r>
      <w:r>
        <w:rPr>
          <w:rFonts w:hint="eastAsia" w:ascii="宋体" w:hAnsi="宋体"/>
          <w:color w:val="000000" w:themeColor="text1"/>
          <w:sz w:val="24"/>
          <w:szCs w:val="24"/>
          <w:highlight w:val="none"/>
          <w:lang w:val="zh-CN" w:eastAsia="zh-CN"/>
          <w14:textFill>
            <w14:solidFill>
              <w14:schemeClr w14:val="tx1"/>
            </w14:solidFill>
          </w14:textFill>
        </w:rPr>
        <w:t>局的</w:t>
      </w:r>
      <w:r>
        <w:rPr>
          <w:rFonts w:hint="eastAsia" w:ascii="宋体" w:hAnsi="宋体"/>
          <w:color w:val="000000" w:themeColor="text1"/>
          <w:sz w:val="24"/>
          <w:szCs w:val="24"/>
          <w:highlight w:val="none"/>
          <w:lang w:val="zh-CN"/>
          <w14:textFill>
            <w14:solidFill>
              <w14:schemeClr w14:val="tx1"/>
            </w14:solidFill>
          </w14:textFill>
        </w:rPr>
        <w:t>领导。</w:t>
      </w:r>
      <w:r>
        <w:rPr>
          <w:rFonts w:hint="eastAsia" w:ascii="宋体" w:hAnsi="宋体"/>
          <w:color w:val="000000" w:themeColor="text1"/>
          <w:sz w:val="24"/>
          <w:szCs w:val="24"/>
          <w:highlight w:val="none"/>
          <w:lang w:val="zh-CN" w:eastAsia="zh-CN"/>
          <w14:textFill>
            <w14:solidFill>
              <w14:schemeClr w14:val="tx1"/>
            </w14:solidFill>
          </w14:textFill>
        </w:rPr>
        <w:t>主要职责是：</w:t>
      </w:r>
    </w:p>
    <w:p w14:paraId="6714579C">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lang w:val="zh-CN" w:eastAsia="zh-CN"/>
          <w14:textFill>
            <w14:solidFill>
              <w14:schemeClr w14:val="tx1"/>
            </w14:solidFill>
          </w14:textFill>
        </w:rPr>
        <w:t>贯彻执行国家有关林业与草原的方针、政策和法律、法规，承担为林业与草原发展、建设、保护提供技术支持和服务保障等事务性工作；为三北防护林、退耕还林、天保工程、草原生态保护及其它造林、草原修复项目等生态建设工程的实施，以及森林、草原、湿地、荒漠、陆生野生动植物等资源的管理与保护提供技术支持和服务保障；为国有林场和森林公园管理等相关事务性工作提供技术支持和服务保障；参与全县公益林和天然林建设与保护工作；为林业科技实验示范、科学研究、教学实训提供服务；参与全县林业（草原）工作站行业管理和技术推广体系建设工作；为全县林业、草原有害生物防治，野生动物保护救护，野生动植物检疫疫源疫病监测及林木牧草种子管理工作提供技术支持和服务保障；指导全县森林、草原防火工作；配合开展全县林业宣传、干部职工培训及机关和事业单位后勤管理服务等支持保障工作等。</w:t>
      </w:r>
    </w:p>
    <w:p w14:paraId="29524FDD">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二、机构设置</w:t>
      </w:r>
    </w:p>
    <w:p w14:paraId="3F0A4540">
      <w:pPr>
        <w:spacing w:line="600" w:lineRule="exact"/>
        <w:ind w:firstLine="482" w:firstLineChars="200"/>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（一）机关内设机构</w:t>
      </w:r>
    </w:p>
    <w:p w14:paraId="62E34DA9">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w:t>
      </w:r>
      <w:r>
        <w:rPr>
          <w:rFonts w:hint="eastAsia" w:ascii="宋体" w:hAnsi="宋体"/>
          <w:color w:val="000000" w:themeColor="text1"/>
          <w:sz w:val="24"/>
          <w:szCs w:val="24"/>
          <w:highlight w:val="none"/>
          <w:lang w:val="zh-CN" w:eastAsia="zh-CN"/>
          <w14:textFill>
            <w14:solidFill>
              <w14:schemeClr w14:val="tx1"/>
            </w14:solidFill>
          </w14:textFill>
        </w:rPr>
        <w:t>办公室。负责机关日常运转工作。承担财务、信息、保密、机要、档案、政务公开等工作。承担组织编制年度计划工作。承担劳动工资、职称评审工作。负责起草局重要文件文稿。承担</w:t>
      </w:r>
      <w:r>
        <w:rPr>
          <w:rFonts w:hint="eastAsia" w:ascii="宋体" w:hAnsi="宋体"/>
          <w:color w:val="000000" w:themeColor="text1"/>
          <w:sz w:val="24"/>
          <w:szCs w:val="24"/>
          <w:highlight w:val="none"/>
          <w:lang w:val="en-US" w:eastAsia="zh-CN"/>
          <w14:textFill>
            <w14:solidFill>
              <w14:schemeClr w14:val="tx1"/>
            </w14:solidFill>
          </w14:textFill>
        </w:rPr>
        <w:t>干部人事</w:t>
      </w:r>
      <w:r>
        <w:rPr>
          <w:rFonts w:hint="eastAsia" w:ascii="宋体" w:hAnsi="宋体"/>
          <w:color w:val="000000" w:themeColor="text1"/>
          <w:sz w:val="24"/>
          <w:szCs w:val="24"/>
          <w:highlight w:val="none"/>
          <w:lang w:val="zh-CN" w:eastAsia="zh-CN"/>
          <w14:textFill>
            <w14:solidFill>
              <w14:schemeClr w14:val="tx1"/>
            </w14:solidFill>
          </w14:textFill>
        </w:rPr>
        <w:t>、机构编制、</w:t>
      </w:r>
      <w:r>
        <w:rPr>
          <w:rFonts w:hint="eastAsia" w:ascii="宋体" w:hAnsi="宋体"/>
          <w:color w:val="000000" w:themeColor="text1"/>
          <w:sz w:val="24"/>
          <w:szCs w:val="24"/>
          <w:highlight w:val="none"/>
          <w:lang w:val="en-US" w:eastAsia="zh-CN"/>
          <w14:textFill>
            <w14:solidFill>
              <w14:schemeClr w14:val="tx1"/>
            </w14:solidFill>
          </w14:textFill>
        </w:rPr>
        <w:t>干部</w:t>
      </w:r>
      <w:r>
        <w:rPr>
          <w:rFonts w:hint="eastAsia" w:ascii="宋体" w:hAnsi="宋体"/>
          <w:color w:val="000000" w:themeColor="text1"/>
          <w:sz w:val="24"/>
          <w:szCs w:val="24"/>
          <w:highlight w:val="none"/>
          <w:lang w:val="zh-CN" w:eastAsia="zh-CN"/>
          <w14:textFill>
            <w14:solidFill>
              <w14:schemeClr w14:val="tx1"/>
            </w14:solidFill>
          </w14:textFill>
        </w:rPr>
        <w:t>教育培训、</w:t>
      </w:r>
      <w:r>
        <w:rPr>
          <w:rFonts w:hint="eastAsia" w:ascii="宋体" w:hAnsi="宋体"/>
          <w:color w:val="000000" w:themeColor="text1"/>
          <w:sz w:val="24"/>
          <w:szCs w:val="24"/>
          <w:highlight w:val="none"/>
          <w:lang w:val="en-US" w:eastAsia="zh-CN"/>
          <w14:textFill>
            <w14:solidFill>
              <w14:schemeClr w14:val="tx1"/>
            </w14:solidFill>
          </w14:textFill>
        </w:rPr>
        <w:t>干部和人才队伍建设等</w:t>
      </w:r>
      <w:r>
        <w:rPr>
          <w:rFonts w:hint="eastAsia" w:ascii="宋体" w:hAnsi="宋体"/>
          <w:color w:val="000000" w:themeColor="text1"/>
          <w:sz w:val="24"/>
          <w:szCs w:val="24"/>
          <w:highlight w:val="none"/>
          <w:lang w:val="zh-CN" w:eastAsia="zh-CN"/>
          <w14:textFill>
            <w14:solidFill>
              <w14:schemeClr w14:val="tx1"/>
            </w14:solidFill>
          </w14:textFill>
        </w:rPr>
        <w:t>工作。</w:t>
      </w:r>
    </w:p>
    <w:p w14:paraId="67C9C43C">
      <w:pPr>
        <w:spacing w:before="100" w:beforeLines="0" w:after="100" w:afterLine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w:t>
      </w:r>
      <w:r>
        <w:rPr>
          <w:rFonts w:hint="eastAsia" w:ascii="宋体" w:hAnsi="宋体"/>
          <w:color w:val="000000" w:themeColor="text1"/>
          <w:sz w:val="24"/>
          <w:szCs w:val="24"/>
          <w:highlight w:val="none"/>
          <w:lang w:val="zh-CN" w:eastAsia="zh-CN"/>
          <w14:textFill>
            <w14:solidFill>
              <w14:schemeClr w14:val="tx1"/>
            </w14:solidFill>
          </w14:textFill>
        </w:rPr>
        <w:t>造林绿化股。负责指导编制全县植树造林。组织指导全县采种育种、植树造林及林业工程建设。负责营造林作业设计；负责林业产业的监督检查；组织指导造林质量的检查验收工作；负责编制林业发展中长期规划、年度计划；负责碳汇工作；承担林业综合性、政策性课题研究；编制</w:t>
      </w:r>
      <w:r>
        <w:rPr>
          <w:rFonts w:hint="eastAsia" w:ascii="宋体" w:hAnsi="宋体"/>
          <w:color w:val="000000" w:themeColor="text1"/>
          <w:sz w:val="24"/>
          <w:szCs w:val="24"/>
          <w:highlight w:val="none"/>
          <w:lang w:val="en-US" w:eastAsia="zh-CN"/>
          <w14:textFill>
            <w14:solidFill>
              <w14:schemeClr w14:val="tx1"/>
            </w14:solidFill>
          </w14:textFill>
        </w:rPr>
        <w:t>全县林业生产进度和林业产业发展报表。</w:t>
      </w:r>
    </w:p>
    <w:p w14:paraId="5CD56117">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森林资源管理股。执行国家省州、县有关保护森林草原资源的法律法规。编制提交森林采伐限额，并监督执行、宏观管理木材、林产品经营及运输。负责全县林业和草原执法工作，依法管理森林草原、林木、林地等自然资源，查处林业和草原违法案件。管理木材采伐、林产品加工等多种经营及资源综合利用。</w:t>
      </w:r>
      <w:r>
        <w:rPr>
          <w:rFonts w:hint="eastAsia" w:ascii="宋体" w:hAnsi="宋体"/>
          <w:color w:val="000000" w:themeColor="text1"/>
          <w:sz w:val="24"/>
          <w:szCs w:val="24"/>
          <w:highlight w:val="none"/>
          <w:lang w:val="zh-CN" w:eastAsia="zh-CN"/>
          <w14:textFill>
            <w14:solidFill>
              <w14:schemeClr w14:val="tx1"/>
            </w14:solidFill>
          </w14:textFill>
        </w:rPr>
        <w:t>负责全县天然林资源区划管理；负责公益林管理及资金兑现。负责森林抚育工作；编制森林经营方案；征占用林地查验；林业灾害损失调查；森林资源、资产核查；负责林地更新工作；完成局里交办的其他工作任务。</w:t>
      </w:r>
    </w:p>
    <w:p w14:paraId="285D7FF2">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4、林业综合管理服务股。</w:t>
      </w:r>
      <w:r>
        <w:rPr>
          <w:rFonts w:hint="eastAsia" w:ascii="宋体" w:hAnsi="宋体"/>
          <w:color w:val="000000" w:themeColor="text1"/>
          <w:sz w:val="24"/>
          <w:szCs w:val="24"/>
          <w:highlight w:val="none"/>
          <w:lang w:val="zh-CN" w:eastAsia="zh-CN"/>
          <w14:textFill>
            <w14:solidFill>
              <w14:schemeClr w14:val="tx1"/>
            </w14:solidFill>
          </w14:textFill>
        </w:rPr>
        <w:t>负责林业信息发布，及时发布林业法律、法规和政策信息;搜集和发布林木、林地流转、林产品供求信息;推介林业项目和最新林业科技成果;林业科技、法律政策容询服务;林业、林地流转交易。提供交易场所、产权交易咨询办理流转交易手续;林权证抵押登记。以林权证作抵押，进行抵押登记，协同县域内银行机构为抵押人提供林业贷款;负责林业资源资产评估。组织开展陆生野生动植物资源调查和资源状况评估，监督管理陆生野生动植物保护工作。指导湿地保护工作，组织实施湿地生态修复、生态补偿工作，管理国家重要湿地。承担湿地资源动态监测与评价工作、河长制办公室相应工作。监督管理自然保护区、自然遗产、地质公园、森林公园、风景名胜等各级自然保护地，提出全县各级自然保护地的新建、调整及晋升审核建议并按程序报批。组织实施自然保护地生态修复工作。承担世界自然遗产项目和世界自然与文化双重遗产项目相关工作负责编制林区，草原旅游规划，监督管理森林、草原生态旅游及全城旅游无垃圾管理相应工作。完成上级及局交办的其他工作任务。</w:t>
      </w:r>
    </w:p>
    <w:p w14:paraId="760418D9">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5、草原生态修复股。</w:t>
      </w:r>
      <w:r>
        <w:rPr>
          <w:rFonts w:hint="eastAsia" w:ascii="宋体" w:hAnsi="宋体"/>
          <w:color w:val="000000" w:themeColor="text1"/>
          <w:sz w:val="24"/>
          <w:szCs w:val="24"/>
          <w:highlight w:val="none"/>
          <w:lang w:val="zh-CN" w:eastAsia="zh-CN"/>
          <w14:textFill>
            <w14:solidFill>
              <w14:schemeClr w14:val="tx1"/>
            </w14:solidFill>
          </w14:textFill>
        </w:rPr>
        <w:t>组织实施草原生态补偿工作，组织编制全县草地保护利用规划；承担草原征占用等草地相关管理工作；承担草原动态监测与评价、草原统计工作；承担草原管护员选聘、监督、管理责任；负责草原病虫鼠等生物灾害防治工作；负责草原禁牧、草畜平衡和草生态修复治理工作；负责实施退牧还草退耕还草，草原生态重点保护修复工程；负责草原行政执法监督管理，协调行政执法中的重大问题，督查督办重大行政案件。指导基层草原工作站的建设与管理。负责组织协调、督促、检查、指导全县退耕还草工程建设、工程管理、后续产业培植及巩固成果工作；对全县退耕还林的粮食补助、生活费补助兑现工作进行监督检查；负责全县退耕还林年度自查工作(核实退耕还林保存情况、退耕户与退耕地变化情况等)，配合上级有关部门对退耕还林的各项检查工作；严格按照退耕还林有关政策完成上级下达的各类项目申报、落实与实施；完成上级及局交办的其他工作任务。</w:t>
      </w:r>
    </w:p>
    <w:p w14:paraId="476D9F9A">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6、退耕还林工程建设办公室。</w:t>
      </w:r>
      <w:r>
        <w:rPr>
          <w:rFonts w:hint="eastAsia" w:ascii="宋体" w:hAnsi="宋体"/>
          <w:color w:val="000000" w:themeColor="text1"/>
          <w:sz w:val="24"/>
          <w:szCs w:val="24"/>
          <w:highlight w:val="none"/>
          <w:lang w:val="zh-CN" w:eastAsia="zh-CN"/>
          <w14:textFill>
            <w14:solidFill>
              <w14:schemeClr w14:val="tx1"/>
            </w14:solidFill>
          </w14:textFill>
        </w:rPr>
        <w:t>负责组织协调、督促、检查、指导全县退耕还林工程建设、工程管理、后续产业培植及巩固成果工作；对全县退耕还林的粮食补助、生活费补助兑现工作进行监督检查；负责全县退耕还林年度自查工作(核实退耕还林保存情况、退耕户与退耕地变化情况等)，配合上级有关部门对退耕还林的各项检查工作；严格按照退耕还林有关政策完成上级下达的各类项目申报、落实与实施；完成上级及局交办的其他工作任务。</w:t>
      </w:r>
    </w:p>
    <w:p w14:paraId="2A7D7EEB">
      <w:pPr>
        <w:spacing w:before="100" w:beforeLines="0" w:after="100" w:afterLines="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zh-CN" w:eastAsia="zh-CN"/>
          <w14:textFill>
            <w14:solidFill>
              <w14:schemeClr w14:val="tx1"/>
            </w14:solidFill>
          </w14:textFill>
        </w:rPr>
        <w:t>（二）直属事业单位</w:t>
      </w:r>
    </w:p>
    <w:p w14:paraId="21B0D1C3">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生态绿化委员会办公室。副科级事业单位。主要职责：宣传贯彻落实好国家、省、州关于全民义务植树运动的法律、法规和方针、政策；组织实施全民义务植树活动、城镇绿化规划；全面完成上级部门下达的义务植树任务；定期组织全面调查，争取将县域范围内每一株古树名木都列入法定建档保护范围，加强古树名木保护的宣传力度，动员全社会力量保护古树名木；对有病虫害、长势衰弱的古树名木进行及时抢救并采取相应复壮措施；组织实施上级部门制定的古树名木保护措施方案工作；负责对古树名木保护资金的管理兑现工作。</w:t>
      </w:r>
    </w:p>
    <w:p w14:paraId="7006E530">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森林和草原火灾预防中心。副科级事业单位。主要职责：承担全县森林和草原火灾预防、宣传、用火审批工作。指导开展防火巡护、火源管理、防火设施等工作。负责森林和草原火情监测预警、督查检查防火等工作。</w:t>
      </w:r>
    </w:p>
    <w:p w14:paraId="68D75F4C">
      <w:pPr>
        <w:spacing w:before="100" w:beforeLines="0" w:after="100" w:afterLines="0"/>
        <w:ind w:firstLine="480" w:firstLineChars="20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3、森林病虫害防疫站。正股级事业单位。主要职责：</w:t>
      </w:r>
      <w:r>
        <w:rPr>
          <w:rFonts w:hint="eastAsia" w:ascii="宋体" w:hAnsi="宋体"/>
          <w:color w:val="000000" w:themeColor="text1"/>
          <w:sz w:val="24"/>
          <w:szCs w:val="24"/>
          <w:highlight w:val="none"/>
          <w:lang w:val="zh-CN" w:eastAsia="zh-CN"/>
          <w14:textFill>
            <w14:solidFill>
              <w14:schemeClr w14:val="tx1"/>
            </w14:solidFill>
          </w14:textFill>
        </w:rPr>
        <w:t>宣传贯彻执行林业有害生物防治法律法规条例；制定林业有害生物防治规划和预案；负责林业有害生物监测、预报、调查及信息发布，组织开展林业有害生物检验检疫、防治工作；防范外来林业有害生物入侵；开展林业有害生物防治技术研究、推广；完成上级及局交办的其他工作任务。</w:t>
      </w:r>
    </w:p>
    <w:p w14:paraId="4812C47F">
      <w:pPr>
        <w:spacing w:before="100" w:beforeLines="0" w:after="100" w:afterLines="0"/>
        <w:ind w:firstLine="480" w:firstLineChars="20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4、林业技术推广站。正股级事业单位。主要职责：</w:t>
      </w:r>
      <w:r>
        <w:rPr>
          <w:rFonts w:hint="eastAsia" w:ascii="宋体" w:hAnsi="宋体"/>
          <w:color w:val="000000" w:themeColor="text1"/>
          <w:sz w:val="24"/>
          <w:szCs w:val="24"/>
          <w:highlight w:val="none"/>
          <w:lang w:val="zh-CN" w:eastAsia="zh-CN"/>
          <w14:textFill>
            <w14:solidFill>
              <w14:schemeClr w14:val="tx1"/>
            </w14:solidFill>
          </w14:textFill>
        </w:rPr>
        <w:t>负责全县林业工作站的建设管理，指导基层林业工作站开展工作；开展林业课题研究；引进试验新品种，引进推广林业新技术，开展林业技术交流、人员培训工作；推广优质种苗，建设林业示范基地；完成上级及局交办的其他工作任务。</w:t>
      </w:r>
    </w:p>
    <w:p w14:paraId="512DE6A9">
      <w:pPr>
        <w:spacing w:before="100" w:beforeLines="0" w:after="100" w:afterLines="0"/>
        <w:ind w:firstLine="480" w:firstLineChars="20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5、林业种苗站。正股级事业单位。主要职责：</w:t>
      </w:r>
      <w:r>
        <w:rPr>
          <w:rFonts w:hint="eastAsia" w:ascii="宋体" w:hAnsi="宋体"/>
          <w:color w:val="000000" w:themeColor="text1"/>
          <w:sz w:val="24"/>
          <w:szCs w:val="24"/>
          <w:highlight w:val="none"/>
          <w:lang w:val="zh-CN" w:eastAsia="zh-CN"/>
          <w14:textFill>
            <w14:solidFill>
              <w14:schemeClr w14:val="tx1"/>
            </w14:solidFill>
          </w14:textFill>
        </w:rPr>
        <w:t>宣传贯彻有关林木种苗、国有林场法律法规政策；制定林业产业发展规划，收集、研究林业市场信息；督促林业企业做好安全生产工作；指导民营林场、林业龙头企业的培育；监督、指导林木种苗、林业花卉生产；办理种苗生产经营许可证；完成局交办的其他工作任务。</w:t>
      </w:r>
    </w:p>
    <w:p w14:paraId="26F9D60A">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6、乡镇林业工作站。正股级事业单位。根</w:t>
      </w:r>
      <w:r>
        <w:rPr>
          <w:rFonts w:hint="eastAsia" w:ascii="宋体" w:hAnsi="宋体"/>
          <w:color w:val="000000" w:themeColor="text1"/>
          <w:sz w:val="24"/>
          <w:szCs w:val="24"/>
          <w:highlight w:val="none"/>
          <w:lang w:val="zh-CN" w:eastAsia="zh-CN"/>
          <w14:textFill>
            <w14:solidFill>
              <w14:schemeClr w14:val="tx1"/>
            </w14:solidFill>
          </w14:textFill>
        </w:rPr>
        <w:t>据</w:t>
      </w:r>
      <w:r>
        <w:rPr>
          <w:rFonts w:hint="eastAsia" w:ascii="宋体" w:hAnsi="宋体"/>
          <w:color w:val="000000" w:themeColor="text1"/>
          <w:sz w:val="24"/>
          <w:szCs w:val="24"/>
          <w:highlight w:val="none"/>
          <w:lang w:val="en-US" w:eastAsia="zh-CN"/>
          <w14:textFill>
            <w14:solidFill>
              <w14:schemeClr w14:val="tx1"/>
            </w14:solidFill>
          </w14:textFill>
        </w:rPr>
        <w:t>2015年11月24日发布的《</w:t>
      </w:r>
      <w:r>
        <w:rPr>
          <w:rFonts w:hint="eastAsia" w:ascii="宋体" w:hAnsi="宋体"/>
          <w:color w:val="000000" w:themeColor="text1"/>
          <w:sz w:val="24"/>
          <w:szCs w:val="24"/>
          <w:highlight w:val="none"/>
          <w:lang w:val="zh-CN" w:eastAsia="zh-CN"/>
          <w14:textFill>
            <w14:solidFill>
              <w14:schemeClr w14:val="tx1"/>
            </w14:solidFill>
          </w14:textFill>
        </w:rPr>
        <w:t>林业工作站管理办法</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zh-CN" w:eastAsia="zh-CN"/>
          <w14:textFill>
            <w14:solidFill>
              <w14:schemeClr w14:val="tx1"/>
            </w14:solidFill>
          </w14:textFill>
        </w:rPr>
        <w:t>（国家林业局令第</w:t>
      </w:r>
      <w:r>
        <w:rPr>
          <w:rFonts w:hint="eastAsia" w:ascii="宋体" w:hAnsi="宋体"/>
          <w:color w:val="000000" w:themeColor="text1"/>
          <w:sz w:val="24"/>
          <w:szCs w:val="24"/>
          <w:highlight w:val="none"/>
          <w:lang w:val="en-US" w:eastAsia="zh-CN"/>
          <w14:textFill>
            <w14:solidFill>
              <w14:schemeClr w14:val="tx1"/>
            </w14:solidFill>
          </w14:textFill>
        </w:rPr>
        <w:t>39号</w:t>
      </w:r>
      <w:r>
        <w:rPr>
          <w:rFonts w:hint="eastAsia" w:ascii="宋体" w:hAnsi="宋体"/>
          <w:color w:val="000000" w:themeColor="text1"/>
          <w:sz w:val="24"/>
          <w:szCs w:val="24"/>
          <w:highlight w:val="none"/>
          <w:lang w:val="zh-CN" w:eastAsia="zh-CN"/>
          <w14:textFill>
            <w14:solidFill>
              <w14:schemeClr w14:val="tx1"/>
            </w14:solidFill>
          </w14:textFill>
        </w:rPr>
        <w:t>），为加强林业工作站的建设于管理，</w:t>
      </w:r>
      <w:r>
        <w:rPr>
          <w:rFonts w:hint="eastAsia" w:ascii="宋体" w:hAnsi="宋体"/>
          <w:color w:val="000000" w:themeColor="text1"/>
          <w:sz w:val="24"/>
          <w:szCs w:val="24"/>
          <w:highlight w:val="none"/>
          <w:lang w:val="en-US" w:eastAsia="zh-CN"/>
          <w14:textFill>
            <w14:solidFill>
              <w14:schemeClr w14:val="tx1"/>
            </w14:solidFill>
          </w14:textFill>
        </w:rPr>
        <w:t>发挥林业工作站在发展林业中的作用，下设24个乡镇林业工作站，同时承担2019年划转的乡镇</w:t>
      </w:r>
      <w:r>
        <w:rPr>
          <w:rFonts w:hint="eastAsia" w:ascii="宋体" w:hAnsi="宋体"/>
          <w:color w:val="000000" w:themeColor="text1"/>
          <w:sz w:val="24"/>
          <w:szCs w:val="24"/>
          <w:highlight w:val="none"/>
          <w:lang w:val="zh-CN" w:eastAsia="zh-CN"/>
          <w14:textFill>
            <w14:solidFill>
              <w14:schemeClr w14:val="tx1"/>
            </w14:solidFill>
          </w14:textFill>
        </w:rPr>
        <w:t>草原监督管理等职责</w:t>
      </w:r>
      <w:r>
        <w:rPr>
          <w:rFonts w:hint="eastAsia" w:ascii="宋体" w:hAnsi="宋体"/>
          <w:color w:val="000000" w:themeColor="text1"/>
          <w:sz w:val="24"/>
          <w:szCs w:val="24"/>
          <w:highlight w:val="none"/>
          <w:lang w:val="en-US" w:eastAsia="zh-CN"/>
          <w14:textFill>
            <w14:solidFill>
              <w14:schemeClr w14:val="tx1"/>
            </w14:solidFill>
          </w14:textFill>
        </w:rPr>
        <w:t>。具体职能为：承担政策宣传、资源管理、林政执法、生产组织、科技推广和社会化服务等职能,具体职责是：一是宣传与贯彻执行森林、野生动植物资源保护等法律、法规和各项林业方针、政策；二是协助县级林业主管部门和乡镇人民政府制定和落实林业发展规划；三是配合县级林业主管部门开展资源调查、档案管理、造林检查验收、林业统计等工作；四是协助县级林业主管部门或者乡镇人民政府开展林木采伐等行政许可受理、审核和发证工作；五是配合县级林业主管部门或者乡镇人民政府开展森林防火、林业有害生物防治、陆生野生动物疫源疫病防控、森林保险和林业重点建设工程等工作；六是协助有关部门处理森林、林木和林地所有权或者使用权争议，查处破坏森林和野生动植物资源案件；七是配合乡镇人民政府建立健全乡村护林网络和管理乡村护林队伍；八是推广林业科学技术，开展林业技术培训、技术咨询和技术服务等林业社会化服务；九是承担县级林业主管部门或者乡镇人民政府规定的其他职责。</w:t>
      </w:r>
    </w:p>
    <w:p w14:paraId="55801C52">
      <w:pPr>
        <w:spacing w:before="100" w:beforeLines="0" w:after="100" w:afterLine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 xml:space="preserve">     7、高山林场。正股级事业单位。主要职责：宣传贯彻执行《森林法》、《省森林消防条例》等国家林业的工作方针、政策和法规；年度林业特产生产计划的编报和统计；组织实施植树造林、森林资源管护、林政管理、公益林生态环境保护等工作；做好林区森林消防队伍的建设、培训、演练及森林消防器材的保管、维护工作。</w:t>
      </w:r>
    </w:p>
    <w:p w14:paraId="77CEFB7C">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维新林场。正股级事业单位。主要职责：宣传贯彻执行《森林法》、《省森林消防条例》等国家林业的工作方针、政策和法规；年度林业特产生产计划的编报和统计；组织实施植树造林、森林资源管护、林政管理、公益林生态环境保护等工作；做好林区森林消防队伍的建设、培训、演练及森林消防器材的保管、维护工作；</w:t>
      </w:r>
    </w:p>
    <w:p w14:paraId="434B1D92">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9、河滩苗圃。正股级事业单。主要职责：引进繁育，推广新品种苗木；做好林业工程苗木调剂及供应；做好职工业务知识的培训，及时引进各项新的育苗管理技术。</w:t>
      </w:r>
    </w:p>
    <w:p w14:paraId="79A5C892">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10、拱北滩苗圃。正股级事业单位。主要职责：引进繁育，推广新品种苗木；做好林业工程苗木调剂及供应；做好职工业务知识的培训，及时引进各项新的育苗管理技术。</w:t>
      </w:r>
    </w:p>
    <w:p w14:paraId="76527108">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11、池滩苗圃。正股级事业单位。主要职责：引进繁育，推广新品种苗木；做好林业工程苗木调剂及供应；做好职工业务知识的培训，及时引进各项新的育苗管理技术。</w:t>
      </w:r>
    </w:p>
    <w:p w14:paraId="0B7F0EB8">
      <w:pPr>
        <w:spacing w:before="100" w:beforeLines="0" w:after="100" w:afterLines="0"/>
        <w:ind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12、邢家梁管护站。正股级事业单位。主要职责：认真贯彻执行《森林法》和有关的法律法规，维护国家和集体的整体利益，对森林经营措施和生产经营活动提出合理化建议；对责任区内的森林资源进行看管保护，制止乱砍滥伐、偷砍盗伐，制止一切危害林木生长的非法经营活动，防止林木资源遭受破坏；保护责任区的林地资源不受破坏，及时发现和制止毁林开荒、滥占林地、私自改变林地用途、随意挖沙、采石、取土等现象，并迅速报告林场和资源林政部门；熟悉掌握管护责任区内的森林资源现状，对森林资源的保护、培育、利用实行管理和监督；及时发现、报告管护经营责任区内的森林病、虫、鼠害情况，并按有关规定进行预防和治理；保护责任区内的野生动物资源和珍贵植物资源，对非法采伐、采集植物、采矿、狩猎、捕鱼及其它破坏森林环境的行为进行制止并及时上报；负责责任区内森林防火的巡查、管治工作。  </w:t>
      </w:r>
    </w:p>
    <w:p w14:paraId="0AB1E218">
      <w:pPr>
        <w:spacing w:before="100" w:beforeLines="0" w:after="100" w:afterLines="0"/>
        <w:ind w:firstLine="480" w:firstLineChars="200"/>
        <w:jc w:val="left"/>
        <w:rPr>
          <w:rFonts w:hint="eastAsia" w:ascii="宋体" w:hAnsi="宋体"/>
          <w:color w:val="000000" w:themeColor="text1"/>
          <w:sz w:val="24"/>
          <w:szCs w:val="24"/>
          <w:highlight w:val="none"/>
          <w:lang w:val="zh-CN"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13、春台林草管护站。正股级事业单位。主要职责：认真贯彻执行《森林法》和有关的法律法规，维护国家和集体的整体利益，对森林经营措施和生产经营活动提出合理化建议；对责任区内的森林资源进行看管保护，制止乱砍滥伐、偷砍盗伐，制止一切危害林木生长的非法经营活动，防止林木资源遭受破坏；保护责任区的林地资源不受破坏，及时发现和制止毁林开荒、滥占林地、私自改变林地用途、随意挖沙、采石、取土等现象，并迅速报告林场和资源林政部门；熟悉掌握管护责任区内的森林资源现状，对森林资源的保护、培育、利用实行管理和监督；及时发现、报告管护经营责任区内的森林病、虫、鼠害情况，并按有关规定进行预防和治理；保护责任区内的野生动物资源和珍贵植物资源，对非法采伐、采集植物、采矿、狩猎、捕鱼及其它破坏森林环境的行为进行制止并及时上报；负责责任区内森林防火的巡查、管治工作。 </w:t>
      </w:r>
    </w:p>
    <w:p w14:paraId="53EED01C">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4914CC6F">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08799FBF">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257984BE">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404F8464">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147F9F3C">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55799312">
      <w:pPr>
        <w:spacing w:before="100" w:beforeLines="0" w:after="100" w:afterLines="0"/>
        <w:jc w:val="center"/>
        <w:rPr>
          <w:rFonts w:hint="eastAsia" w:ascii="宋体" w:hAnsi="宋体"/>
          <w:b/>
          <w:color w:val="000000" w:themeColor="text1"/>
          <w:sz w:val="24"/>
          <w:szCs w:val="24"/>
          <w:highlight w:val="none"/>
          <w:lang w:val="zh-CN"/>
          <w14:textFill>
            <w14:solidFill>
              <w14:schemeClr w14:val="tx1"/>
            </w14:solidFill>
          </w14:textFill>
        </w:rPr>
      </w:pPr>
    </w:p>
    <w:p w14:paraId="3A6945F5">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第二部分2023年度部门决算表</w:t>
      </w:r>
    </w:p>
    <w:p w14:paraId="5523B287">
      <w:pPr>
        <w:numPr>
          <w:ilvl w:val="0"/>
          <w:numId w:val="1"/>
        </w:num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收入支出决算总表</w:t>
      </w:r>
    </w:p>
    <w:p w14:paraId="6148936C">
      <w:pPr>
        <w:numPr>
          <w:ilvl w:val="0"/>
          <w:numId w:val="0"/>
        </w:num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drawing>
          <wp:inline distT="0" distB="0" distL="114300" distR="114300">
            <wp:extent cx="5478780" cy="5821680"/>
            <wp:effectExtent l="0" t="0" r="7620" b="7620"/>
            <wp:docPr id="3" name="图片 3" descr="172584923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5849232669"/>
                    <pic:cNvPicPr>
                      <a:picLocks noChangeAspect="1"/>
                    </pic:cNvPicPr>
                  </pic:nvPicPr>
                  <pic:blipFill>
                    <a:blip r:embed="rId4"/>
                    <a:stretch>
                      <a:fillRect/>
                    </a:stretch>
                  </pic:blipFill>
                  <pic:spPr>
                    <a:xfrm>
                      <a:off x="0" y="0"/>
                      <a:ext cx="5478780" cy="5821680"/>
                    </a:xfrm>
                    <a:prstGeom prst="rect">
                      <a:avLst/>
                    </a:prstGeom>
                  </pic:spPr>
                </pic:pic>
              </a:graphicData>
            </a:graphic>
          </wp:inline>
        </w:drawing>
      </w:r>
    </w:p>
    <w:p w14:paraId="559082E0">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7E34AF59">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75A3F3DC">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748A3EBF">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45F92D81">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78D5FB94">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6E7D4B63">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75A379ED">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2D83B2D0">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二、收入决算表</w:t>
      </w:r>
    </w:p>
    <w:p w14:paraId="0A3D7F52">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drawing>
          <wp:inline distT="0" distB="0" distL="114300" distR="114300">
            <wp:extent cx="5480050" cy="6157595"/>
            <wp:effectExtent l="0" t="0" r="6350" b="14605"/>
            <wp:docPr id="4" name="图片 4" descr="172584926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5849263312"/>
                    <pic:cNvPicPr>
                      <a:picLocks noChangeAspect="1"/>
                    </pic:cNvPicPr>
                  </pic:nvPicPr>
                  <pic:blipFill>
                    <a:blip r:embed="rId5"/>
                    <a:stretch>
                      <a:fillRect/>
                    </a:stretch>
                  </pic:blipFill>
                  <pic:spPr>
                    <a:xfrm>
                      <a:off x="0" y="0"/>
                      <a:ext cx="5480050" cy="6157595"/>
                    </a:xfrm>
                    <a:prstGeom prst="rect">
                      <a:avLst/>
                    </a:prstGeom>
                  </pic:spPr>
                </pic:pic>
              </a:graphicData>
            </a:graphic>
          </wp:inline>
        </w:drawing>
      </w:r>
    </w:p>
    <w:p w14:paraId="272D10E0">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43AC7AA6">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1ECEA930">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083C9DDB">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5AD5C10A">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三、支出决算表</w:t>
      </w:r>
      <w:r>
        <w:rPr>
          <w:rFonts w:hint="eastAsia" w:ascii="宋体" w:hAnsi="宋体"/>
          <w:color w:val="000000" w:themeColor="text1"/>
          <w:sz w:val="24"/>
          <w:szCs w:val="24"/>
          <w:highlight w:val="none"/>
          <w:lang w:val="zh-CN"/>
          <w14:textFill>
            <w14:solidFill>
              <w14:schemeClr w14:val="tx1"/>
            </w14:solidFill>
          </w14:textFill>
        </w:rPr>
        <w:drawing>
          <wp:inline distT="0" distB="0" distL="114300" distR="114300">
            <wp:extent cx="5481320" cy="7494270"/>
            <wp:effectExtent l="0" t="0" r="5080" b="11430"/>
            <wp:docPr id="5" name="图片 5" descr="172584933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5849333802"/>
                    <pic:cNvPicPr>
                      <a:picLocks noChangeAspect="1"/>
                    </pic:cNvPicPr>
                  </pic:nvPicPr>
                  <pic:blipFill>
                    <a:blip r:embed="rId6"/>
                    <a:stretch>
                      <a:fillRect/>
                    </a:stretch>
                  </pic:blipFill>
                  <pic:spPr>
                    <a:xfrm>
                      <a:off x="0" y="0"/>
                      <a:ext cx="5481320" cy="7494270"/>
                    </a:xfrm>
                    <a:prstGeom prst="rect">
                      <a:avLst/>
                    </a:prstGeom>
                  </pic:spPr>
                </pic:pic>
              </a:graphicData>
            </a:graphic>
          </wp:inline>
        </w:drawing>
      </w:r>
    </w:p>
    <w:p w14:paraId="43B023BA">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57FB9983">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四、财政拨款收入支出决算总表</w:t>
      </w:r>
    </w:p>
    <w:p w14:paraId="2CAA47EC">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drawing>
          <wp:inline distT="0" distB="0" distL="114300" distR="114300">
            <wp:extent cx="5479415" cy="6844665"/>
            <wp:effectExtent l="0" t="0" r="6985" b="13335"/>
            <wp:docPr id="6" name="图片 6" descr="172584942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5849426557"/>
                    <pic:cNvPicPr>
                      <a:picLocks noChangeAspect="1"/>
                    </pic:cNvPicPr>
                  </pic:nvPicPr>
                  <pic:blipFill>
                    <a:blip r:embed="rId7"/>
                    <a:stretch>
                      <a:fillRect/>
                    </a:stretch>
                  </pic:blipFill>
                  <pic:spPr>
                    <a:xfrm>
                      <a:off x="0" y="0"/>
                      <a:ext cx="5479415" cy="6844665"/>
                    </a:xfrm>
                    <a:prstGeom prst="rect">
                      <a:avLst/>
                    </a:prstGeom>
                  </pic:spPr>
                </pic:pic>
              </a:graphicData>
            </a:graphic>
          </wp:inline>
        </w:drawing>
      </w:r>
    </w:p>
    <w:p w14:paraId="089AA75E">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6C09F42F">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0283F5B0">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3C04CA44">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五、一般公共预算财政拨款支出决算表</w:t>
      </w:r>
    </w:p>
    <w:p w14:paraId="14EF8354">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drawing>
          <wp:inline distT="0" distB="0" distL="114300" distR="114300">
            <wp:extent cx="5261610" cy="7429500"/>
            <wp:effectExtent l="0" t="0" r="15240" b="0"/>
            <wp:docPr id="7" name="图片 7" descr="172584948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25849489571"/>
                    <pic:cNvPicPr>
                      <a:picLocks noChangeAspect="1"/>
                    </pic:cNvPicPr>
                  </pic:nvPicPr>
                  <pic:blipFill>
                    <a:blip r:embed="rId8"/>
                    <a:stretch>
                      <a:fillRect/>
                    </a:stretch>
                  </pic:blipFill>
                  <pic:spPr>
                    <a:xfrm>
                      <a:off x="0" y="0"/>
                      <a:ext cx="5261610" cy="7429500"/>
                    </a:xfrm>
                    <a:prstGeom prst="rect">
                      <a:avLst/>
                    </a:prstGeom>
                  </pic:spPr>
                </pic:pic>
              </a:graphicData>
            </a:graphic>
          </wp:inline>
        </w:drawing>
      </w:r>
    </w:p>
    <w:p w14:paraId="21497EDB">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p>
    <w:p w14:paraId="3D89E659">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六、一般公共预算财政拨款基本支出决算明细表</w:t>
      </w:r>
    </w:p>
    <w:p w14:paraId="5020DFCD">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drawing>
          <wp:inline distT="0" distB="0" distL="114300" distR="114300">
            <wp:extent cx="5480050" cy="3244215"/>
            <wp:effectExtent l="0" t="0" r="6350" b="13335"/>
            <wp:docPr id="8" name="图片 8" descr="172584952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5849523620"/>
                    <pic:cNvPicPr>
                      <a:picLocks noChangeAspect="1"/>
                    </pic:cNvPicPr>
                  </pic:nvPicPr>
                  <pic:blipFill>
                    <a:blip r:embed="rId9"/>
                    <a:stretch>
                      <a:fillRect/>
                    </a:stretch>
                  </pic:blipFill>
                  <pic:spPr>
                    <a:xfrm>
                      <a:off x="0" y="0"/>
                      <a:ext cx="5480050" cy="3244215"/>
                    </a:xfrm>
                    <a:prstGeom prst="rect">
                      <a:avLst/>
                    </a:prstGeom>
                  </pic:spPr>
                </pic:pic>
              </a:graphicData>
            </a:graphic>
          </wp:inline>
        </w:drawing>
      </w:r>
    </w:p>
    <w:p w14:paraId="52262588">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七、政府性基金预算财政拨款收入支出决算表</w:t>
      </w:r>
    </w:p>
    <w:p w14:paraId="7D493ECD">
      <w:pPr>
        <w:numPr>
          <w:ilvl w:val="0"/>
          <w:numId w:val="0"/>
        </w:numPr>
        <w:spacing w:before="100" w:beforeLines="0" w:after="100" w:afterLines="0"/>
        <w:ind w:leftChars="0"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本部门没有相关数据</w:t>
      </w:r>
    </w:p>
    <w:p w14:paraId="467E58A5">
      <w:pPr>
        <w:numPr>
          <w:ilvl w:val="0"/>
          <w:numId w:val="0"/>
        </w:numPr>
        <w:spacing w:before="100" w:beforeLines="0" w:after="100" w:afterLines="0"/>
        <w:ind w:left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八、国有资本经营预算财政拨款支出决算表</w:t>
      </w:r>
    </w:p>
    <w:p w14:paraId="0548B026">
      <w:pPr>
        <w:numPr>
          <w:ilvl w:val="0"/>
          <w:numId w:val="0"/>
        </w:numPr>
        <w:spacing w:before="100" w:beforeLines="0" w:after="100" w:afterLines="0"/>
        <w:ind w:firstLine="480" w:firstLineChars="200"/>
        <w:jc w:val="left"/>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本部门没有相关数据</w:t>
      </w:r>
    </w:p>
    <w:p w14:paraId="320031B8">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九、财政拨款</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三公</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经费支出决算表</w:t>
      </w:r>
    </w:p>
    <w:p w14:paraId="41C6EADF">
      <w:pPr>
        <w:spacing w:before="100" w:beforeLines="0" w:after="100" w:afterLines="0"/>
        <w:ind w:firstLine="480" w:firstLineChars="200"/>
        <w:jc w:val="both"/>
        <w:rPr>
          <w:rFonts w:hint="eastAsia" w:ascii="宋体" w:hAnsi="宋体"/>
          <w:b/>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本部门没有相关数据</w:t>
      </w:r>
    </w:p>
    <w:p w14:paraId="797D3A4B">
      <w:pPr>
        <w:spacing w:before="100" w:beforeLines="0" w:after="100" w:afterLines="0"/>
        <w:jc w:val="center"/>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第三部分2023年度部门决算情况说明</w:t>
      </w:r>
    </w:p>
    <w:p w14:paraId="2218EBF5">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一、收入支出决算总体情况说明</w:t>
      </w:r>
    </w:p>
    <w:p w14:paraId="6F8F78C5">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2023年度收、支总计</w:t>
      </w:r>
      <w:r>
        <w:rPr>
          <w:rFonts w:hint="eastAsia" w:ascii="宋体" w:hAnsi="宋体"/>
          <w:color w:val="000000" w:themeColor="text1"/>
          <w:sz w:val="24"/>
          <w:szCs w:val="24"/>
          <w:highlight w:val="none"/>
          <w:lang w:val="en-US"/>
          <w14:textFill>
            <w14:solidFill>
              <w14:schemeClr w14:val="tx1"/>
            </w14:solidFill>
          </w14:textFill>
        </w:rPr>
        <w:t>均为</w:t>
      </w:r>
      <w:r>
        <w:rPr>
          <w:rFonts w:hint="eastAsia" w:ascii="宋体" w:hAnsi="宋体"/>
          <w:color w:val="000000" w:themeColor="text1"/>
          <w:sz w:val="24"/>
          <w:szCs w:val="24"/>
          <w:highlight w:val="none"/>
          <w:lang w:val="zh-CN"/>
          <w14:textFill>
            <w14:solidFill>
              <w14:schemeClr w14:val="tx1"/>
            </w14:solidFill>
          </w14:textFill>
        </w:rPr>
        <w:t>5312.25万元。</w:t>
      </w:r>
      <w:r>
        <w:rPr>
          <w:rFonts w:hint="eastAsia" w:ascii="宋体" w:hAnsi="宋体"/>
          <w:color w:val="000000" w:themeColor="text1"/>
          <w:sz w:val="24"/>
          <w:szCs w:val="24"/>
          <w:highlight w:val="none"/>
          <w:lang w:val="en-US"/>
          <w14:textFill>
            <w14:solidFill>
              <w14:schemeClr w14:val="tx1"/>
            </w14:solidFill>
          </w14:textFill>
        </w:rPr>
        <w:t>与上年度相比,</w:t>
      </w:r>
      <w:r>
        <w:rPr>
          <w:rFonts w:hint="eastAsia" w:ascii="宋体" w:hAnsi="宋体"/>
          <w:color w:val="000000" w:themeColor="text1"/>
          <w:sz w:val="24"/>
          <w:szCs w:val="24"/>
          <w:highlight w:val="none"/>
          <w:lang w:val="zh-CN"/>
          <w14:textFill>
            <w14:solidFill>
              <w14:schemeClr w14:val="tx1"/>
            </w14:solidFill>
          </w14:textFill>
        </w:rPr>
        <w:t>收、支</w:t>
      </w:r>
      <w:r>
        <w:rPr>
          <w:rFonts w:hint="eastAsia" w:ascii="宋体" w:hAnsi="宋体"/>
          <w:color w:val="000000" w:themeColor="text1"/>
          <w:sz w:val="24"/>
          <w:szCs w:val="24"/>
          <w:highlight w:val="none"/>
          <w:lang w:val="en-US"/>
          <w14:textFill>
            <w14:solidFill>
              <w14:schemeClr w14:val="tx1"/>
            </w14:solidFill>
          </w14:textFill>
        </w:rPr>
        <w:t>总计各</w:t>
      </w:r>
      <w:r>
        <w:rPr>
          <w:rFonts w:hint="eastAsia" w:ascii="宋体" w:hAnsi="宋体"/>
          <w:color w:val="000000" w:themeColor="text1"/>
          <w:sz w:val="24"/>
          <w:szCs w:val="24"/>
          <w:highlight w:val="none"/>
          <w:lang w:val="zh-CN"/>
          <w14:textFill>
            <w14:solidFill>
              <w14:schemeClr w14:val="tx1"/>
            </w14:solidFill>
          </w14:textFill>
        </w:rPr>
        <w:t>增加190.54万元,增长3.72%,主要原因是项目增加。</w:t>
      </w:r>
    </w:p>
    <w:p w14:paraId="25C0F185">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二、收入决算情况说明</w:t>
      </w:r>
    </w:p>
    <w:p w14:paraId="243D0B69">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2023年度收入合计4681.28万元,其中：财政拨款收入4681.28万元,占100.00%；</w:t>
      </w:r>
    </w:p>
    <w:p w14:paraId="0DF59451">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三、支出决算情况说明</w:t>
      </w:r>
    </w:p>
    <w:p w14:paraId="34F13057">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2023年度支出合计5259.99万元,其中：基本支出1216.77万元,占23.13%；项目支出4043.22万元,占76.87%；</w:t>
      </w:r>
    </w:p>
    <w:p w14:paraId="1D4E57BE">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四、财政拨款收入支出决算总体情况说明</w:t>
      </w:r>
    </w:p>
    <w:p w14:paraId="304DF666">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2023年度财政拨款收、支总计</w:t>
      </w:r>
      <w:r>
        <w:rPr>
          <w:rFonts w:hint="eastAsia" w:ascii="宋体" w:hAnsi="宋体"/>
          <w:color w:val="000000" w:themeColor="text1"/>
          <w:sz w:val="24"/>
          <w:szCs w:val="24"/>
          <w:highlight w:val="none"/>
          <w:lang w:val="en-US"/>
          <w14:textFill>
            <w14:solidFill>
              <w14:schemeClr w14:val="tx1"/>
            </w14:solidFill>
          </w14:textFill>
        </w:rPr>
        <w:t>均为</w:t>
      </w:r>
      <w:r>
        <w:rPr>
          <w:rFonts w:hint="eastAsia" w:ascii="宋体" w:hAnsi="宋体"/>
          <w:color w:val="000000" w:themeColor="text1"/>
          <w:sz w:val="24"/>
          <w:szCs w:val="24"/>
          <w:highlight w:val="none"/>
          <w:lang w:val="zh-CN"/>
          <w14:textFill>
            <w14:solidFill>
              <w14:schemeClr w14:val="tx1"/>
            </w14:solidFill>
          </w14:textFill>
        </w:rPr>
        <w:t>4681.28万元。与</w:t>
      </w:r>
      <w:r>
        <w:rPr>
          <w:rFonts w:hint="eastAsia" w:ascii="宋体" w:hAnsi="宋体"/>
          <w:color w:val="000000" w:themeColor="text1"/>
          <w:sz w:val="24"/>
          <w:szCs w:val="24"/>
          <w:highlight w:val="none"/>
          <w:lang w:val="en-US"/>
          <w14:textFill>
            <w14:solidFill>
              <w14:schemeClr w14:val="tx1"/>
            </w14:solidFill>
          </w14:textFill>
        </w:rPr>
        <w:t>上</w:t>
      </w:r>
      <w:r>
        <w:rPr>
          <w:rFonts w:hint="eastAsia" w:ascii="宋体" w:hAnsi="宋体"/>
          <w:color w:val="000000" w:themeColor="text1"/>
          <w:sz w:val="24"/>
          <w:szCs w:val="24"/>
          <w:highlight w:val="none"/>
          <w:lang w:val="zh-CN"/>
          <w14:textFill>
            <w14:solidFill>
              <w14:schemeClr w14:val="tx1"/>
            </w14:solidFill>
          </w14:textFill>
        </w:rPr>
        <w:t>年相比,各增加307.14万元,增长7.02%。主要原因是项目增加。</w:t>
      </w:r>
    </w:p>
    <w:p w14:paraId="24D93780">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五、一般公共预算财政拨款支出决算情况说明</w:t>
      </w:r>
    </w:p>
    <w:p w14:paraId="071CB61B">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（一）一般公共预算财政拨款支出决算总体情况</w:t>
      </w:r>
    </w:p>
    <w:p w14:paraId="6C4CD39D">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2023年度一般公共预算财政拨款支出4681.28万元,较上年决算数增加307.14万元,增长7.02%。主要原因是项目增加。</w:t>
      </w:r>
    </w:p>
    <w:p w14:paraId="37614711">
      <w:pPr>
        <w:numPr>
          <w:ilvl w:val="0"/>
          <w:numId w:val="2"/>
        </w:num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一般公共预算财政拨款支出决算结构情况</w:t>
      </w:r>
    </w:p>
    <w:p w14:paraId="68B746EF">
      <w:pPr>
        <w:numPr>
          <w:ilvl w:val="0"/>
          <w:numId w:val="0"/>
        </w:num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2023年度一般公共预算财政拨款支出</w:t>
      </w:r>
      <w:r>
        <w:rPr>
          <w:rFonts w:hint="eastAsia" w:ascii="宋体" w:hAnsi="宋体"/>
          <w:color w:val="000000" w:themeColor="text1"/>
          <w:sz w:val="24"/>
          <w:szCs w:val="24"/>
          <w:highlight w:val="none"/>
          <w:lang w:val="zh-CN"/>
          <w14:textFill>
            <w14:solidFill>
              <w14:schemeClr w14:val="tx1"/>
            </w14:solidFill>
          </w14:textFill>
        </w:rPr>
        <w:t>4681.28万元，主要用于以下方面：一般公共服务支出9.08万元,占0.19%；社会保障和就业支出115.83万元,占2.47%；卫生健康支出48.13万元,占1.03%；节能环保支出1967.01万元</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占42.02%；城乡社区支出0.00万元,占0.0%；农林水支出2365.92万元,占50.54%；交通运输支出82.30万元,占1.76%；自然资源海洋气象等支出6.97万元,占0.15%；住房保障支出86.05万元,占1.84%；</w:t>
      </w:r>
    </w:p>
    <w:p w14:paraId="64B29F74">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一般公共预算财政拨款支出决算具体情况。</w:t>
      </w:r>
    </w:p>
    <w:p w14:paraId="767C9013">
      <w:pPr>
        <w:numPr>
          <w:ilvl w:val="0"/>
          <w:numId w:val="0"/>
        </w:numPr>
        <w:spacing w:before="100" w:beforeLines="0" w:after="100" w:afterLines="0"/>
        <w:ind w:leftChars="0"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highlight w:val="none"/>
          <w:lang w:val="zh-CN"/>
          <w14:textFill>
            <w14:solidFill>
              <w14:schemeClr w14:val="tx1"/>
            </w14:solidFill>
          </w14:textFill>
        </w:rPr>
        <w:t>4470.44万元,支出决算为4681.28万元,完成年初预算的104.72%。其中：</w:t>
      </w:r>
    </w:p>
    <w:p w14:paraId="1D8A2C82">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default" w:ascii="Times New Roman" w:hAnsi="Times New Roman" w:eastAsia="Times New Roman"/>
          <w:b/>
          <w:color w:val="000000" w:themeColor="text1"/>
          <w:sz w:val="24"/>
          <w:szCs w:val="24"/>
          <w:highlight w:val="none"/>
          <w:lang w:val="zh-CN"/>
          <w14:textFill>
            <w14:solidFill>
              <w14:schemeClr w14:val="tx1"/>
            </w14:solidFill>
          </w14:textFill>
        </w:rPr>
        <w:t>1</w:t>
      </w:r>
      <w:r>
        <w:rPr>
          <w:rFonts w:hint="eastAsia" w:ascii="宋体" w:hAnsi="宋体"/>
          <w:b/>
          <w:color w:val="000000" w:themeColor="text1"/>
          <w:sz w:val="24"/>
          <w:szCs w:val="24"/>
          <w:highlight w:val="none"/>
          <w:lang w:val="zh-CN"/>
          <w14:textFill>
            <w14:solidFill>
              <w14:schemeClr w14:val="tx1"/>
            </w14:solidFill>
          </w14:textFill>
        </w:rPr>
        <w:t>．一般公共服务支出</w:t>
      </w:r>
      <w:r>
        <w:rPr>
          <w:rFonts w:hint="eastAsia" w:ascii="宋体" w:hAnsi="宋体"/>
          <w:color w:val="000000" w:themeColor="text1"/>
          <w:sz w:val="24"/>
          <w:szCs w:val="24"/>
          <w:highlight w:val="none"/>
          <w:lang w:val="zh-CN"/>
          <w14:textFill>
            <w14:solidFill>
              <w14:schemeClr w14:val="tx1"/>
            </w14:solidFill>
          </w14:textFill>
        </w:rPr>
        <w:t>年初预算数为15.13万元,支出决算为9.08万元,完成年初预算的60.0%,决算数小于预算数的主要原因是支出科目变化。</w:t>
      </w:r>
    </w:p>
    <w:p w14:paraId="64188205">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default" w:ascii="Times New Roman" w:hAnsi="Times New Roman" w:eastAsia="Times New Roman"/>
          <w:b/>
          <w:color w:val="000000" w:themeColor="text1"/>
          <w:sz w:val="24"/>
          <w:szCs w:val="24"/>
          <w:highlight w:val="none"/>
          <w:lang w:val="zh-CN"/>
          <w14:textFill>
            <w14:solidFill>
              <w14:schemeClr w14:val="tx1"/>
            </w14:solidFill>
          </w14:textFill>
        </w:rPr>
        <w:t>2</w:t>
      </w:r>
      <w:r>
        <w:rPr>
          <w:rFonts w:hint="eastAsia" w:ascii="宋体" w:hAnsi="宋体"/>
          <w:b/>
          <w:color w:val="000000" w:themeColor="text1"/>
          <w:sz w:val="24"/>
          <w:szCs w:val="24"/>
          <w:highlight w:val="none"/>
          <w:lang w:val="zh-CN"/>
          <w14:textFill>
            <w14:solidFill>
              <w14:schemeClr w14:val="tx1"/>
            </w14:solidFill>
          </w14:textFill>
        </w:rPr>
        <w:t>．社会保障和就业支出</w:t>
      </w:r>
      <w:r>
        <w:rPr>
          <w:rFonts w:hint="eastAsia" w:ascii="宋体" w:hAnsi="宋体"/>
          <w:color w:val="000000" w:themeColor="text1"/>
          <w:sz w:val="24"/>
          <w:szCs w:val="24"/>
          <w:highlight w:val="none"/>
          <w:lang w:val="zh-CN"/>
          <w14:textFill>
            <w14:solidFill>
              <w14:schemeClr w14:val="tx1"/>
            </w14:solidFill>
          </w14:textFill>
        </w:rPr>
        <w:t>年初预算数为138.43万元,支出决算为115.83万元,完成年初预算的83.67%,决算数小于预算数的主要原因是人员减少。</w:t>
      </w:r>
    </w:p>
    <w:p w14:paraId="3E80DACD">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Times New Roman" w:hAnsi="Times New Roman" w:eastAsia="宋体"/>
          <w:b/>
          <w:color w:val="000000" w:themeColor="text1"/>
          <w:sz w:val="24"/>
          <w:szCs w:val="24"/>
          <w:highlight w:val="none"/>
          <w:lang w:val="en-US" w:eastAsia="zh-CN"/>
          <w14:textFill>
            <w14:solidFill>
              <w14:schemeClr w14:val="tx1"/>
            </w14:solidFill>
          </w14:textFill>
        </w:rPr>
        <w:t>3</w:t>
      </w:r>
      <w:r>
        <w:rPr>
          <w:rFonts w:hint="eastAsia" w:ascii="宋体" w:hAnsi="宋体"/>
          <w:b/>
          <w:color w:val="000000" w:themeColor="text1"/>
          <w:sz w:val="24"/>
          <w:szCs w:val="24"/>
          <w:highlight w:val="none"/>
          <w:lang w:val="zh-CN"/>
          <w14:textFill>
            <w14:solidFill>
              <w14:schemeClr w14:val="tx1"/>
            </w14:solidFill>
          </w14:textFill>
        </w:rPr>
        <w:t>．卫生健康支出</w:t>
      </w:r>
      <w:r>
        <w:rPr>
          <w:rFonts w:hint="eastAsia" w:ascii="宋体" w:hAnsi="宋体"/>
          <w:color w:val="000000" w:themeColor="text1"/>
          <w:sz w:val="24"/>
          <w:szCs w:val="24"/>
          <w:highlight w:val="none"/>
          <w:lang w:val="zh-CN"/>
          <w14:textFill>
            <w14:solidFill>
              <w14:schemeClr w14:val="tx1"/>
            </w14:solidFill>
          </w14:textFill>
        </w:rPr>
        <w:t>年初预算数为51.35万元,支出决算为48.13万元,完成年初预算的93.73%,决算数小于预算数的主要原因是人员减少。</w:t>
      </w:r>
    </w:p>
    <w:p w14:paraId="646BE1BF">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Times New Roman" w:hAnsi="Times New Roman" w:eastAsia="宋体"/>
          <w:b/>
          <w:color w:val="000000" w:themeColor="text1"/>
          <w:sz w:val="24"/>
          <w:szCs w:val="24"/>
          <w:highlight w:val="none"/>
          <w:lang w:val="en-US" w:eastAsia="zh-CN"/>
          <w14:textFill>
            <w14:solidFill>
              <w14:schemeClr w14:val="tx1"/>
            </w14:solidFill>
          </w14:textFill>
        </w:rPr>
        <w:t>4</w:t>
      </w:r>
      <w:r>
        <w:rPr>
          <w:rFonts w:hint="eastAsia" w:ascii="宋体" w:hAnsi="宋体"/>
          <w:b/>
          <w:color w:val="000000" w:themeColor="text1"/>
          <w:sz w:val="24"/>
          <w:szCs w:val="24"/>
          <w:highlight w:val="none"/>
          <w:lang w:val="zh-CN"/>
          <w14:textFill>
            <w14:solidFill>
              <w14:schemeClr w14:val="tx1"/>
            </w14:solidFill>
          </w14:textFill>
        </w:rPr>
        <w:t>．节能环保支出</w:t>
      </w:r>
      <w:r>
        <w:rPr>
          <w:rFonts w:hint="eastAsia" w:ascii="宋体" w:hAnsi="宋体"/>
          <w:color w:val="000000" w:themeColor="text1"/>
          <w:sz w:val="24"/>
          <w:szCs w:val="24"/>
          <w:highlight w:val="none"/>
          <w:lang w:val="zh-CN"/>
          <w14:textFill>
            <w14:solidFill>
              <w14:schemeClr w14:val="tx1"/>
            </w14:solidFill>
          </w14:textFill>
        </w:rPr>
        <w:t>年初预算数为612.18万元,支出决算为1967.01万元,完成年初预算的321.31%,决算数大于预算数的主要原因是科目变化。</w:t>
      </w:r>
    </w:p>
    <w:p w14:paraId="2BD1711B">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Times New Roman" w:hAnsi="Times New Roman" w:eastAsia="宋体"/>
          <w:b/>
          <w:color w:val="000000" w:themeColor="text1"/>
          <w:sz w:val="24"/>
          <w:szCs w:val="24"/>
          <w:highlight w:val="none"/>
          <w:lang w:val="en-US" w:eastAsia="zh-CN"/>
          <w14:textFill>
            <w14:solidFill>
              <w14:schemeClr w14:val="tx1"/>
            </w14:solidFill>
          </w14:textFill>
        </w:rPr>
        <w:t>5</w:t>
      </w:r>
      <w:r>
        <w:rPr>
          <w:rFonts w:hint="eastAsia" w:ascii="宋体" w:hAnsi="宋体"/>
          <w:b/>
          <w:color w:val="000000" w:themeColor="text1"/>
          <w:sz w:val="24"/>
          <w:szCs w:val="24"/>
          <w:highlight w:val="none"/>
          <w:lang w:val="zh-CN"/>
          <w14:textFill>
            <w14:solidFill>
              <w14:schemeClr w14:val="tx1"/>
            </w14:solidFill>
          </w14:textFill>
        </w:rPr>
        <w:t>．农林水支出</w:t>
      </w:r>
      <w:r>
        <w:rPr>
          <w:rFonts w:hint="eastAsia" w:ascii="宋体" w:hAnsi="宋体"/>
          <w:color w:val="000000" w:themeColor="text1"/>
          <w:sz w:val="24"/>
          <w:szCs w:val="24"/>
          <w:highlight w:val="none"/>
          <w:lang w:val="zh-CN"/>
          <w14:textFill>
            <w14:solidFill>
              <w14:schemeClr w14:val="tx1"/>
            </w14:solidFill>
          </w14:textFill>
        </w:rPr>
        <w:t>年初预算数为3561.17万元,支出决算为2365.92万元,完成年初预算的66.44%,决算数小于预算数的主要原因是科目变化。</w:t>
      </w:r>
    </w:p>
    <w:p w14:paraId="5F45E9D2">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Times New Roman" w:hAnsi="Times New Roman" w:eastAsia="宋体"/>
          <w:b/>
          <w:color w:val="000000" w:themeColor="text1"/>
          <w:sz w:val="24"/>
          <w:szCs w:val="24"/>
          <w:highlight w:val="none"/>
          <w:lang w:val="en-US" w:eastAsia="zh-CN"/>
          <w14:textFill>
            <w14:solidFill>
              <w14:schemeClr w14:val="tx1"/>
            </w14:solidFill>
          </w14:textFill>
        </w:rPr>
        <w:t>6</w:t>
      </w:r>
      <w:r>
        <w:rPr>
          <w:rFonts w:hint="eastAsia" w:ascii="宋体" w:hAnsi="宋体"/>
          <w:b/>
          <w:color w:val="000000" w:themeColor="text1"/>
          <w:sz w:val="24"/>
          <w:szCs w:val="24"/>
          <w:highlight w:val="none"/>
          <w:lang w:val="zh-CN"/>
          <w14:textFill>
            <w14:solidFill>
              <w14:schemeClr w14:val="tx1"/>
            </w14:solidFill>
          </w14:textFill>
        </w:rPr>
        <w:t>．交通运输支出</w:t>
      </w:r>
      <w:r>
        <w:rPr>
          <w:rFonts w:hint="eastAsia" w:ascii="宋体" w:hAnsi="宋体"/>
          <w:color w:val="000000" w:themeColor="text1"/>
          <w:sz w:val="24"/>
          <w:szCs w:val="24"/>
          <w:highlight w:val="none"/>
          <w:lang w:val="zh-CN"/>
          <w14:textFill>
            <w14:solidFill>
              <w14:schemeClr w14:val="tx1"/>
            </w14:solidFill>
          </w14:textFill>
        </w:rPr>
        <w:t>年初预算数为0.00万元,支出决算为82.30万元,完成年初预算的</w:t>
      </w:r>
      <w:r>
        <w:rPr>
          <w:rFonts w:hint="eastAsia" w:ascii="宋体" w:hAnsi="宋体"/>
          <w:color w:val="000000" w:themeColor="text1"/>
          <w:sz w:val="24"/>
          <w:szCs w:val="24"/>
          <w:highlight w:val="none"/>
          <w:lang w:val="en-US" w:eastAsia="zh-CN"/>
          <w14:textFill>
            <w14:solidFill>
              <w14:schemeClr w14:val="tx1"/>
            </w14:solidFill>
          </w14:textFill>
        </w:rPr>
        <w:t>100</w:t>
      </w:r>
      <w:r>
        <w:rPr>
          <w:rFonts w:hint="eastAsia" w:ascii="宋体" w:hAnsi="宋体"/>
          <w:color w:val="000000" w:themeColor="text1"/>
          <w:sz w:val="24"/>
          <w:szCs w:val="24"/>
          <w:highlight w:val="none"/>
          <w:lang w:val="zh-CN"/>
          <w14:textFill>
            <w14:solidFill>
              <w14:schemeClr w14:val="tx1"/>
            </w14:solidFill>
          </w14:textFill>
        </w:rPr>
        <w:t>%,决算数大于预算数的主要原因是科目变化。</w:t>
      </w:r>
    </w:p>
    <w:p w14:paraId="19A795B3">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Times New Roman" w:hAnsi="Times New Roman" w:eastAsia="宋体"/>
          <w:b/>
          <w:color w:val="000000" w:themeColor="text1"/>
          <w:sz w:val="24"/>
          <w:szCs w:val="24"/>
          <w:highlight w:val="none"/>
          <w:lang w:val="en-US" w:eastAsia="zh-CN"/>
          <w14:textFill>
            <w14:solidFill>
              <w14:schemeClr w14:val="tx1"/>
            </w14:solidFill>
          </w14:textFill>
        </w:rPr>
        <w:t>7</w:t>
      </w:r>
      <w:r>
        <w:rPr>
          <w:rFonts w:hint="eastAsia" w:ascii="宋体" w:hAnsi="宋体"/>
          <w:b/>
          <w:color w:val="000000" w:themeColor="text1"/>
          <w:sz w:val="24"/>
          <w:szCs w:val="24"/>
          <w:highlight w:val="none"/>
          <w:lang w:val="zh-CN"/>
          <w14:textFill>
            <w14:solidFill>
              <w14:schemeClr w14:val="tx1"/>
            </w14:solidFill>
          </w14:textFill>
        </w:rPr>
        <w:t>．自然资源海洋气象等支出</w:t>
      </w:r>
      <w:r>
        <w:rPr>
          <w:rFonts w:hint="eastAsia" w:ascii="宋体" w:hAnsi="宋体"/>
          <w:color w:val="000000" w:themeColor="text1"/>
          <w:sz w:val="24"/>
          <w:szCs w:val="24"/>
          <w:highlight w:val="none"/>
          <w:lang w:val="zh-CN"/>
          <w14:textFill>
            <w14:solidFill>
              <w14:schemeClr w14:val="tx1"/>
            </w14:solidFill>
          </w14:textFill>
        </w:rPr>
        <w:t>年初预算数为0.00万元,支出决算为6.97万元,完成年初预算的</w:t>
      </w:r>
      <w:r>
        <w:rPr>
          <w:rFonts w:hint="eastAsia" w:ascii="宋体" w:hAnsi="宋体"/>
          <w:color w:val="000000" w:themeColor="text1"/>
          <w:sz w:val="24"/>
          <w:szCs w:val="24"/>
          <w:highlight w:val="none"/>
          <w:lang w:val="en-US" w:eastAsia="zh-CN"/>
          <w14:textFill>
            <w14:solidFill>
              <w14:schemeClr w14:val="tx1"/>
            </w14:solidFill>
          </w14:textFill>
        </w:rPr>
        <w:t>100</w:t>
      </w:r>
      <w:r>
        <w:rPr>
          <w:rFonts w:hint="eastAsia" w:ascii="宋体" w:hAnsi="宋体"/>
          <w:color w:val="000000" w:themeColor="text1"/>
          <w:sz w:val="24"/>
          <w:szCs w:val="24"/>
          <w:highlight w:val="none"/>
          <w:lang w:val="zh-CN"/>
          <w14:textFill>
            <w14:solidFill>
              <w14:schemeClr w14:val="tx1"/>
            </w14:solidFill>
          </w14:textFill>
        </w:rPr>
        <w:t>%,决算数大于预算数的主要原因是科目变化。</w:t>
      </w:r>
    </w:p>
    <w:p w14:paraId="6B483836">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Times New Roman" w:hAnsi="Times New Roman" w:eastAsia="宋体"/>
          <w:b/>
          <w:color w:val="000000" w:themeColor="text1"/>
          <w:sz w:val="24"/>
          <w:szCs w:val="24"/>
          <w:highlight w:val="none"/>
          <w:lang w:val="en-US" w:eastAsia="zh-CN"/>
          <w14:textFill>
            <w14:solidFill>
              <w14:schemeClr w14:val="tx1"/>
            </w14:solidFill>
          </w14:textFill>
        </w:rPr>
        <w:t>8</w:t>
      </w:r>
      <w:r>
        <w:rPr>
          <w:rFonts w:hint="eastAsia" w:ascii="宋体" w:hAnsi="宋体"/>
          <w:b/>
          <w:color w:val="000000" w:themeColor="text1"/>
          <w:sz w:val="24"/>
          <w:szCs w:val="24"/>
          <w:highlight w:val="none"/>
          <w:lang w:val="zh-CN"/>
          <w14:textFill>
            <w14:solidFill>
              <w14:schemeClr w14:val="tx1"/>
            </w14:solidFill>
          </w14:textFill>
        </w:rPr>
        <w:t>．住房保障支出</w:t>
      </w:r>
      <w:r>
        <w:rPr>
          <w:rFonts w:hint="eastAsia" w:ascii="宋体" w:hAnsi="宋体"/>
          <w:color w:val="000000" w:themeColor="text1"/>
          <w:sz w:val="24"/>
          <w:szCs w:val="24"/>
          <w:highlight w:val="none"/>
          <w:lang w:val="zh-CN"/>
          <w14:textFill>
            <w14:solidFill>
              <w14:schemeClr w14:val="tx1"/>
            </w14:solidFill>
          </w14:textFill>
        </w:rPr>
        <w:t>年初预算数为92.17万元,支出决算为86.05万元,完成年初预算的93.36%,决算数小于预算数的主要原因是人员减少。</w:t>
      </w:r>
    </w:p>
    <w:p w14:paraId="142C3C3D">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六、一般公共预算财政拨款基本支出决算情况说明</w:t>
      </w:r>
    </w:p>
    <w:p w14:paraId="0C34D39D">
      <w:pPr>
        <w:spacing w:before="100" w:beforeLines="0" w:after="100" w:afterLines="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2023年度一般公共预算财政拨款基本支出1216.77万元。其中：</w:t>
      </w:r>
    </w:p>
    <w:p w14:paraId="02601917">
      <w:pPr>
        <w:spacing w:before="100" w:beforeLines="0" w:after="100" w:afterLines="0"/>
        <w:ind w:firstLine="482"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人员经费</w:t>
      </w:r>
      <w:r>
        <w:rPr>
          <w:rFonts w:hint="eastAsia" w:ascii="宋体" w:hAnsi="宋体"/>
          <w:color w:val="000000" w:themeColor="text1"/>
          <w:sz w:val="24"/>
          <w:szCs w:val="24"/>
          <w:highlight w:val="none"/>
          <w:lang w:val="zh-CN"/>
          <w14:textFill>
            <w14:solidFill>
              <w14:schemeClr w14:val="tx1"/>
            </w14:solidFill>
          </w14:textFill>
        </w:rPr>
        <w:t>1183.37万元,较上年决算数减少78.65万元,下降6.23%,主要原因是人员减少。人员经费用途主要包括基本工资、津贴补贴、奖金、机关事业单位基本养老保险缴费、职工基本医疗保险缴费、其他社会保障缴费、住房公积金。</w:t>
      </w:r>
    </w:p>
    <w:p w14:paraId="39B1194B">
      <w:pPr>
        <w:spacing w:before="100" w:beforeLines="0" w:after="100" w:afterLines="0"/>
        <w:ind w:firstLine="482"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公用经费</w:t>
      </w:r>
      <w:r>
        <w:rPr>
          <w:rFonts w:hint="eastAsia" w:ascii="宋体" w:hAnsi="宋体"/>
          <w:color w:val="000000" w:themeColor="text1"/>
          <w:sz w:val="24"/>
          <w:szCs w:val="24"/>
          <w:highlight w:val="none"/>
          <w:lang w:val="zh-CN"/>
          <w14:textFill>
            <w14:solidFill>
              <w14:schemeClr w14:val="tx1"/>
            </w14:solidFill>
          </w14:textFill>
        </w:rPr>
        <w:t>33.41万元,较上年决算数减少18.29万元,下降35.39%,主要原因是人员减少。公用经费用途主要包括办公费、水费、电费、邮电费、取暖费、差旅费、租赁费、工费经费、其他商品和服务支出</w:t>
      </w:r>
    </w:p>
    <w:p w14:paraId="2B293725">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七、政府性基金预算财政拨款收支决算情况说明</w:t>
      </w:r>
    </w:p>
    <w:p w14:paraId="09C9B0DB">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本部门2023年度无政府性基金收入,也没有使用政府性基金安排的支出。</w:t>
      </w:r>
    </w:p>
    <w:p w14:paraId="426B0C10">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八、国有资本经营预算财政拨款支出情况说明</w:t>
      </w:r>
    </w:p>
    <w:p w14:paraId="6876AEA3">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本部门2023年度没有使用国有资本经营预算安排的支出。</w:t>
      </w:r>
    </w:p>
    <w:p w14:paraId="459182C5">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九</w:t>
      </w:r>
      <w:r>
        <w:rPr>
          <w:rFonts w:hint="eastAsia" w:ascii="宋体" w:hAnsi="宋体"/>
          <w:b/>
          <w:bCs/>
          <w:color w:val="000000" w:themeColor="text1"/>
          <w:sz w:val="24"/>
          <w:szCs w:val="24"/>
          <w:highlight w:val="none"/>
          <w:lang w:val="zh-CN" w:eastAsia="zh-CN"/>
          <w14:textFill>
            <w14:solidFill>
              <w14:schemeClr w14:val="tx1"/>
            </w14:solidFill>
          </w14:textFill>
        </w:rPr>
        <w:t>、财政拨款</w:t>
      </w:r>
      <w:r>
        <w:rPr>
          <w:rFonts w:hint="default" w:ascii="宋体" w:hAnsi="宋体"/>
          <w:b/>
          <w:bCs/>
          <w:color w:val="000000" w:themeColor="text1"/>
          <w:sz w:val="24"/>
          <w:szCs w:val="24"/>
          <w:highlight w:val="none"/>
          <w:lang w:val="zh-CN" w:eastAsia="zh-CN"/>
          <w14:textFill>
            <w14:solidFill>
              <w14:schemeClr w14:val="tx1"/>
            </w14:solidFill>
          </w14:textFill>
        </w:rPr>
        <w:t>“</w:t>
      </w:r>
      <w:r>
        <w:rPr>
          <w:rFonts w:hint="eastAsia" w:ascii="宋体" w:hAnsi="宋体"/>
          <w:b/>
          <w:bCs/>
          <w:color w:val="000000" w:themeColor="text1"/>
          <w:sz w:val="24"/>
          <w:szCs w:val="24"/>
          <w:highlight w:val="none"/>
          <w:lang w:val="zh-CN" w:eastAsia="zh-CN"/>
          <w14:textFill>
            <w14:solidFill>
              <w14:schemeClr w14:val="tx1"/>
            </w14:solidFill>
          </w14:textFill>
        </w:rPr>
        <w:t>三公</w:t>
      </w:r>
      <w:r>
        <w:rPr>
          <w:rFonts w:hint="default" w:ascii="宋体" w:hAnsi="宋体"/>
          <w:b/>
          <w:bCs/>
          <w:color w:val="000000" w:themeColor="text1"/>
          <w:sz w:val="24"/>
          <w:szCs w:val="24"/>
          <w:highlight w:val="none"/>
          <w:lang w:val="zh-CN" w:eastAsia="zh-CN"/>
          <w14:textFill>
            <w14:solidFill>
              <w14:schemeClr w14:val="tx1"/>
            </w14:solidFill>
          </w14:textFill>
        </w:rPr>
        <w:t>”</w:t>
      </w:r>
      <w:r>
        <w:rPr>
          <w:rFonts w:hint="eastAsia" w:ascii="宋体" w:hAnsi="宋体"/>
          <w:b/>
          <w:bCs/>
          <w:color w:val="000000" w:themeColor="text1"/>
          <w:sz w:val="24"/>
          <w:szCs w:val="24"/>
          <w:highlight w:val="none"/>
          <w:lang w:val="zh-CN" w:eastAsia="zh-CN"/>
          <w14:textFill>
            <w14:solidFill>
              <w14:schemeClr w14:val="tx1"/>
            </w14:solidFill>
          </w14:textFill>
        </w:rPr>
        <w:t>经费支出决算情况说明</w:t>
      </w:r>
    </w:p>
    <w:p w14:paraId="2CE701D8">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我单位属于事业单位，财政未保障我单位</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三公</w:t>
      </w:r>
      <w:r>
        <w:rPr>
          <w:rFonts w:hint="default" w:ascii="宋体" w:hAnsi="宋体"/>
          <w:color w:val="000000" w:themeColor="text1"/>
          <w:sz w:val="24"/>
          <w:szCs w:val="24"/>
          <w:highlight w:val="none"/>
          <w:lang w:val="zh-CN"/>
          <w14:textFill>
            <w14:solidFill>
              <w14:schemeClr w14:val="tx1"/>
            </w14:solidFill>
          </w14:textFill>
        </w:rPr>
        <w:t>”</w:t>
      </w:r>
      <w:r>
        <w:rPr>
          <w:rFonts w:hint="eastAsia" w:ascii="宋体" w:hAnsi="宋体"/>
          <w:color w:val="000000" w:themeColor="text1"/>
          <w:sz w:val="24"/>
          <w:szCs w:val="24"/>
          <w:highlight w:val="none"/>
          <w:lang w:val="zh-CN"/>
          <w14:textFill>
            <w14:solidFill>
              <w14:schemeClr w14:val="tx1"/>
            </w14:solidFill>
          </w14:textFill>
        </w:rPr>
        <w:t>经费。</w:t>
      </w:r>
    </w:p>
    <w:p w14:paraId="3F08AFA4">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十</w:t>
      </w:r>
      <w:r>
        <w:rPr>
          <w:rFonts w:hint="eastAsia" w:ascii="宋体" w:hAnsi="宋体"/>
          <w:b/>
          <w:bCs/>
          <w:color w:val="000000" w:themeColor="text1"/>
          <w:sz w:val="24"/>
          <w:szCs w:val="24"/>
          <w:highlight w:val="none"/>
          <w:lang w:val="zh-CN" w:eastAsia="zh-CN"/>
          <w14:textFill>
            <w14:solidFill>
              <w14:schemeClr w14:val="tx1"/>
            </w14:solidFill>
          </w14:textFill>
        </w:rPr>
        <w:t>、机关运行经费支出情况说明</w:t>
      </w:r>
    </w:p>
    <w:p w14:paraId="1B488097">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2023年度本部门机关运行经费支出33.41万元,机关运行经费主要用于开支办公费</w:t>
      </w:r>
      <w:r>
        <w:rPr>
          <w:rFonts w:hint="eastAsia" w:ascii="宋体" w:hAnsi="宋体"/>
          <w:color w:val="000000" w:themeColor="text1"/>
          <w:sz w:val="24"/>
          <w:szCs w:val="24"/>
          <w:highlight w:val="none"/>
          <w:lang w:val="en-US" w:eastAsia="zh-CN"/>
          <w14:textFill>
            <w14:solidFill>
              <w14:schemeClr w14:val="tx1"/>
            </w14:solidFill>
          </w14:textFill>
        </w:rPr>
        <w:t>8.71万元、水费0.15万元、电费5.1万元、邮电费1.51万元、取暖费4万元、差旅费1.52万元、租赁费3万元、工会经费9.1万元</w:t>
      </w:r>
      <w:r>
        <w:rPr>
          <w:rFonts w:hint="eastAsia" w:ascii="宋体" w:hAnsi="宋体"/>
          <w:color w:val="000000" w:themeColor="text1"/>
          <w:sz w:val="24"/>
          <w:szCs w:val="24"/>
          <w:highlight w:val="none"/>
          <w:lang w:val="zh-CN"/>
          <w14:textFill>
            <w14:solidFill>
              <w14:schemeClr w14:val="tx1"/>
            </w14:solidFill>
          </w14:textFill>
        </w:rPr>
        <w:t>。机关运行经费较上年决算数减少</w:t>
      </w:r>
      <w:r>
        <w:rPr>
          <w:rFonts w:hint="eastAsia" w:ascii="宋体" w:hAnsi="宋体"/>
          <w:color w:val="000000" w:themeColor="text1"/>
          <w:sz w:val="24"/>
          <w:szCs w:val="24"/>
          <w:highlight w:val="none"/>
          <w:lang w:val="en-US" w:eastAsia="zh-CN"/>
          <w14:textFill>
            <w14:solidFill>
              <w14:schemeClr w14:val="tx1"/>
            </w14:solidFill>
          </w14:textFill>
        </w:rPr>
        <w:t>18.29</w:t>
      </w:r>
      <w:r>
        <w:rPr>
          <w:rFonts w:hint="eastAsia" w:ascii="宋体" w:hAnsi="宋体"/>
          <w:color w:val="000000" w:themeColor="text1"/>
          <w:sz w:val="24"/>
          <w:szCs w:val="24"/>
          <w:highlight w:val="none"/>
          <w:lang w:val="zh-CN"/>
          <w14:textFill>
            <w14:solidFill>
              <w14:schemeClr w14:val="tx1"/>
            </w14:solidFill>
          </w14:textFill>
        </w:rPr>
        <w:t>万元,下降</w:t>
      </w:r>
      <w:r>
        <w:rPr>
          <w:rFonts w:hint="eastAsia" w:ascii="宋体" w:hAnsi="宋体"/>
          <w:color w:val="000000" w:themeColor="text1"/>
          <w:sz w:val="24"/>
          <w:szCs w:val="24"/>
          <w:highlight w:val="none"/>
          <w:lang w:val="en-US" w:eastAsia="zh-CN"/>
          <w14:textFill>
            <w14:solidFill>
              <w14:schemeClr w14:val="tx1"/>
            </w14:solidFill>
          </w14:textFill>
        </w:rPr>
        <w:t>36.39</w:t>
      </w:r>
      <w:r>
        <w:rPr>
          <w:rFonts w:hint="eastAsia" w:ascii="宋体" w:hAnsi="宋体"/>
          <w:color w:val="000000" w:themeColor="text1"/>
          <w:sz w:val="24"/>
          <w:szCs w:val="24"/>
          <w:highlight w:val="none"/>
          <w:lang w:val="zh-CN"/>
          <w14:textFill>
            <w14:solidFill>
              <w14:schemeClr w14:val="tx1"/>
            </w14:solidFill>
          </w14:textFill>
        </w:rPr>
        <w:t>%,主要原因是人员减少。</w:t>
      </w:r>
    </w:p>
    <w:p w14:paraId="46B1187B">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十一、政府采购支出情况说明</w:t>
      </w:r>
    </w:p>
    <w:p w14:paraId="7C07B5FA">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我单位2023年度无政府采购相关经费。</w:t>
      </w:r>
    </w:p>
    <w:p w14:paraId="6B66381A">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十二</w:t>
      </w:r>
      <w:r>
        <w:rPr>
          <w:rFonts w:hint="eastAsia" w:ascii="宋体" w:hAnsi="宋体"/>
          <w:b/>
          <w:bCs/>
          <w:color w:val="000000" w:themeColor="text1"/>
          <w:sz w:val="24"/>
          <w:szCs w:val="24"/>
          <w:highlight w:val="none"/>
          <w:lang w:val="zh-CN" w:eastAsia="zh-CN"/>
          <w14:textFill>
            <w14:solidFill>
              <w14:schemeClr w14:val="tx1"/>
            </w14:solidFill>
          </w14:textFill>
        </w:rPr>
        <w:t>、国有资产占用情况说明</w:t>
      </w:r>
    </w:p>
    <w:p w14:paraId="377E30AE">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截至2023年12月31日,本部门共有车辆</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lang w:val="zh-CN"/>
          <w14:textFill>
            <w14:solidFill>
              <w14:schemeClr w14:val="tx1"/>
            </w14:solidFill>
          </w14:textFill>
        </w:rPr>
        <w:t>辆。单价100万元(含)以上设备</w:t>
      </w:r>
      <w:r>
        <w:rPr>
          <w:rFonts w:hint="eastAsia" w:ascii="宋体" w:hAnsi="宋体"/>
          <w:color w:val="000000" w:themeColor="text1"/>
          <w:sz w:val="24"/>
          <w:szCs w:val="24"/>
          <w:highlight w:val="none"/>
          <w:lang w:val="en-US" w:eastAsia="zh-CN"/>
          <w14:textFill>
            <w14:solidFill>
              <w14:schemeClr w14:val="tx1"/>
            </w14:solidFill>
          </w14:textFill>
        </w:rPr>
        <w:t>0</w:t>
      </w:r>
      <w:r>
        <w:rPr>
          <w:rFonts w:hint="eastAsia" w:ascii="宋体" w:hAnsi="宋体"/>
          <w:color w:val="000000" w:themeColor="text1"/>
          <w:sz w:val="24"/>
          <w:szCs w:val="24"/>
          <w:highlight w:val="none"/>
          <w:lang w:val="zh-CN"/>
          <w14:textFill>
            <w14:solidFill>
              <w14:schemeClr w14:val="tx1"/>
            </w14:solidFill>
          </w14:textFill>
        </w:rPr>
        <w:t>台(套)。</w:t>
      </w:r>
    </w:p>
    <w:p w14:paraId="1FE47EA0">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十三、其他需要说明的情况</w:t>
      </w:r>
    </w:p>
    <w:p w14:paraId="5AEFCD75">
      <w:pPr>
        <w:spacing w:before="100" w:beforeLines="0" w:after="100" w:afterLines="0"/>
        <w:ind w:firstLine="480" w:firstLineChars="200"/>
        <w:jc w:val="left"/>
        <w:rPr>
          <w:rFonts w:hint="eastAsia" w:ascii="宋体" w:hAnsi="宋体"/>
          <w:color w:val="000000" w:themeColor="text1"/>
          <w:sz w:val="24"/>
          <w:szCs w:val="24"/>
          <w:highlight w:val="none"/>
          <w:lang w:val="zh-CN"/>
          <w14:textFill>
            <w14:solidFill>
              <w14:schemeClr w14:val="tx1"/>
            </w14:solidFill>
          </w14:textFill>
        </w:rPr>
      </w:pPr>
      <w:r>
        <w:rPr>
          <w:rFonts w:hint="eastAsia" w:ascii="宋体" w:hAnsi="宋体"/>
          <w:color w:val="000000" w:themeColor="text1"/>
          <w:sz w:val="24"/>
          <w:szCs w:val="24"/>
          <w:highlight w:val="none"/>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6CCE7B11">
      <w:pPr>
        <w:spacing w:before="100" w:beforeLines="0" w:after="100" w:afterLines="0"/>
        <w:jc w:val="center"/>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第四部分</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lang w:val="zh-CN" w:eastAsia="zh-CN"/>
          <w14:textFill>
            <w14:solidFill>
              <w14:schemeClr w14:val="tx1"/>
            </w14:solidFill>
          </w14:textFill>
        </w:rPr>
        <w:t>预算绩效情况说明</w:t>
      </w:r>
    </w:p>
    <w:p w14:paraId="5A7128B5">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一、预算绩效管理工作开展情况</w:t>
      </w:r>
    </w:p>
    <w:p w14:paraId="3207D17B">
      <w:pPr>
        <w:keepNext/>
        <w:keepLines/>
        <w:numPr>
          <w:numId w:val="0"/>
        </w:numPr>
        <w:suppressLineNumbers/>
        <w:spacing w:beforeLines="0" w:afterLines="0"/>
        <w:ind w:firstLine="480" w:firstLineChars="20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年度一般公共预算项目支出全面开展绩效自评,共涉及资金</w:t>
      </w:r>
      <w:r>
        <w:rPr>
          <w:rFonts w:hint="eastAsia" w:ascii="宋体" w:hAnsi="宋体" w:cs="宋体"/>
          <w:color w:val="000000" w:themeColor="text1"/>
          <w:kern w:val="0"/>
          <w:sz w:val="24"/>
          <w:szCs w:val="24"/>
          <w:highlight w:val="none"/>
          <w:lang w:val="en-US" w:eastAsia="zh-CN"/>
          <w14:textFill>
            <w14:solidFill>
              <w14:schemeClr w14:val="tx1"/>
            </w14:solidFill>
          </w14:textFill>
        </w:rPr>
        <w:t>488.425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万元</w:t>
      </w:r>
      <w:r>
        <w:rPr>
          <w:rFonts w:hint="eastAsia" w:ascii="宋体" w:hAnsi="宋体" w:eastAsia="宋体" w:cs="宋体"/>
          <w:color w:val="000000" w:themeColor="text1"/>
          <w:kern w:val="0"/>
          <w:sz w:val="24"/>
          <w:szCs w:val="24"/>
          <w:highlight w:val="none"/>
          <w:lang w:val="en-US"/>
          <w14:textFill>
            <w14:solidFill>
              <w14:schemeClr w14:val="tx1"/>
            </w14:solidFill>
          </w14:textFill>
        </w:rPr>
        <w:t>,占一般公共预算项目支出总额的</w:t>
      </w:r>
      <w:r>
        <w:rPr>
          <w:rFonts w:hint="eastAsia" w:ascii="宋体" w:hAnsi="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lang w:val="en-US"/>
          <w14:textFill>
            <w14:solidFill>
              <w14:schemeClr w14:val="tx1"/>
            </w14:solidFill>
          </w14:textFill>
        </w:rPr>
        <w:t>%。。从评价情况来看,</w:t>
      </w:r>
      <w:r>
        <w:rPr>
          <w:rFonts w:hint="eastAsia" w:ascii="宋体" w:hAnsi="宋体" w:cs="宋体"/>
          <w:color w:val="000000" w:themeColor="text1"/>
          <w:kern w:val="0"/>
          <w:sz w:val="24"/>
          <w:szCs w:val="24"/>
          <w:highlight w:val="none"/>
          <w:lang w:val="en-US" w:eastAsia="zh-CN"/>
          <w14:textFill>
            <w14:solidFill>
              <w14:schemeClr w14:val="tx1"/>
            </w14:solidFill>
          </w14:textFill>
        </w:rPr>
        <w:t>总体实施情况良好，资金使用合理，通过项目实施，项目区的生态环境得到改善，花椒产业有效控制病</w:t>
      </w:r>
      <w:bookmarkStart w:id="0" w:name="_GoBack"/>
      <w:bookmarkEnd w:id="0"/>
      <w:r>
        <w:rPr>
          <w:rFonts w:hint="eastAsia" w:ascii="宋体" w:hAnsi="宋体" w:cs="宋体"/>
          <w:color w:val="000000" w:themeColor="text1"/>
          <w:kern w:val="0"/>
          <w:sz w:val="24"/>
          <w:szCs w:val="24"/>
          <w:highlight w:val="none"/>
          <w:lang w:val="en-US" w:eastAsia="zh-CN"/>
          <w14:textFill>
            <w14:solidFill>
              <w14:schemeClr w14:val="tx1"/>
            </w14:solidFill>
          </w14:textFill>
        </w:rPr>
        <w:t>虫害，显著增加花椒产量，促进乡镇经济的发展，提高人民的生活水平。</w:t>
      </w:r>
    </w:p>
    <w:p w14:paraId="638D64D0">
      <w:p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二、绩效自评结果</w:t>
      </w:r>
    </w:p>
    <w:p w14:paraId="66BFA8F8">
      <w:pPr>
        <w:keepNext/>
        <w:keepLines/>
        <w:suppressLineNumbers/>
        <w:spacing w:beforeLines="0" w:afterLines="0"/>
        <w:ind w:firstLine="480" w:firstLineChars="20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b w:val="0"/>
          <w:bCs w:val="0"/>
          <w:color w:val="000000" w:themeColor="text1"/>
          <w:sz w:val="24"/>
          <w:szCs w:val="24"/>
          <w:highlight w:val="none"/>
          <w:lang w:val="zh-CN" w:eastAsia="zh-CN"/>
          <w14:textFill>
            <w14:solidFill>
              <w14:schemeClr w14:val="tx1"/>
            </w14:solidFill>
          </w14:textFill>
        </w:rPr>
        <w:t>东乡县花椒产业提质增效项目</w:t>
      </w:r>
      <w:r>
        <w:rPr>
          <w:rFonts w:hint="eastAsia" w:ascii="宋体" w:hAnsi="宋体" w:eastAsia="宋体" w:cs="宋体"/>
          <w:color w:val="000000" w:themeColor="text1"/>
          <w:kern w:val="0"/>
          <w:sz w:val="24"/>
          <w:szCs w:val="24"/>
          <w:highlight w:val="none"/>
          <w:lang w:val="en-US"/>
          <w14:textFill>
            <w14:solidFill>
              <w14:schemeClr w14:val="tx1"/>
            </w14:solidFill>
          </w14:textFill>
        </w:rPr>
        <w:t>、东乡县2023年折红路沿线人居环境整治综合提升项目等</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14:textFill>
            <w14:solidFill>
              <w14:schemeClr w14:val="tx1"/>
            </w14:solidFill>
          </w14:textFill>
        </w:rPr>
        <w:t>个项目绩效自评结果。</w:t>
      </w:r>
    </w:p>
    <w:p w14:paraId="516A532B">
      <w:pPr>
        <w:keepNext/>
        <w:keepLines/>
        <w:numPr>
          <w:numId w:val="0"/>
        </w:numPr>
        <w:suppressLineNumbers/>
        <w:spacing w:beforeLines="0" w:afterLines="0"/>
        <w:ind w:firstLine="480" w:firstLineChars="20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b w:val="0"/>
          <w:bCs w:val="0"/>
          <w:color w:val="000000" w:themeColor="text1"/>
          <w:sz w:val="24"/>
          <w:szCs w:val="24"/>
          <w:highlight w:val="none"/>
          <w:lang w:val="zh-CN" w:eastAsia="zh-CN"/>
          <w14:textFill>
            <w14:solidFill>
              <w14:schemeClr w14:val="tx1"/>
            </w14:solidFill>
          </w14:textFill>
        </w:rPr>
        <w:t>（</w:t>
      </w:r>
      <w:r>
        <w:rPr>
          <w:rFonts w:hint="eastAsia" w:ascii="宋体" w:hAnsi="宋体"/>
          <w:b w:val="0"/>
          <w:bCs w:val="0"/>
          <w:color w:val="000000" w:themeColor="text1"/>
          <w:sz w:val="24"/>
          <w:szCs w:val="24"/>
          <w:highlight w:val="none"/>
          <w:lang w:val="en-US" w:eastAsia="zh-CN"/>
          <w14:textFill>
            <w14:solidFill>
              <w14:schemeClr w14:val="tx1"/>
            </w14:solidFill>
          </w14:textFill>
        </w:rPr>
        <w:t>1</w:t>
      </w:r>
      <w:r>
        <w:rPr>
          <w:rFonts w:hint="eastAsia" w:ascii="宋体" w:hAnsi="宋体"/>
          <w:b w:val="0"/>
          <w:bCs w:val="0"/>
          <w:color w:val="000000" w:themeColor="text1"/>
          <w:sz w:val="24"/>
          <w:szCs w:val="24"/>
          <w:highlight w:val="none"/>
          <w:lang w:val="zh-CN" w:eastAsia="zh-CN"/>
          <w14:textFill>
            <w14:solidFill>
              <w14:schemeClr w14:val="tx1"/>
            </w14:solidFill>
          </w14:textFill>
        </w:rPr>
        <w:t>）东乡县花椒产业提质增效项目：全年预算数</w:t>
      </w:r>
      <w:r>
        <w:rPr>
          <w:rFonts w:hint="eastAsia" w:ascii="宋体" w:hAnsi="宋体"/>
          <w:b w:val="0"/>
          <w:bCs w:val="0"/>
          <w:color w:val="000000" w:themeColor="text1"/>
          <w:sz w:val="24"/>
          <w:szCs w:val="24"/>
          <w:highlight w:val="none"/>
          <w:lang w:val="en-US" w:eastAsia="zh-CN"/>
          <w14:textFill>
            <w14:solidFill>
              <w14:schemeClr w14:val="tx1"/>
            </w14:solidFill>
          </w14:textFill>
        </w:rPr>
        <w:t>100万元，执行数89.797万元，执行率90%，主要施工内容：</w:t>
      </w:r>
      <w:r>
        <w:rPr>
          <w:rFonts w:hint="eastAsia" w:ascii="宋体" w:hAnsi="宋体" w:eastAsia="宋体" w:cs="宋体"/>
          <w:color w:val="000000" w:themeColor="text1"/>
          <w:kern w:val="0"/>
          <w:sz w:val="24"/>
          <w:szCs w:val="24"/>
          <w:highlight w:val="none"/>
          <w:lang w:val="en-US"/>
          <w14:textFill>
            <w14:solidFill>
              <w14:schemeClr w14:val="tx1"/>
            </w14:solidFill>
          </w14:textFill>
        </w:rPr>
        <w:t>对河滩镇现有1570亩低产低质的花椒基地进行提质增效，实施范围涉及河滩镇祁杨、东干等行政村，实施花椒提升改造面积1570亩。主要采取补植补栽、施肥、整形修剪、树干保护、病虫害防治、技术培训等一系列措施，其中：补植补栽花椒苗木31400株；抚育提升主要为施肥、整形修剪、树干保护、病虫害防治</w:t>
      </w:r>
      <w:r>
        <w:rPr>
          <w:rFonts w:hint="eastAsia" w:ascii="宋体" w:hAnsi="宋体" w:cs="宋体"/>
          <w:color w:val="000000" w:themeColor="text1"/>
          <w:kern w:val="0"/>
          <w:sz w:val="24"/>
          <w:szCs w:val="24"/>
          <w:highlight w:val="none"/>
          <w:lang w:val="en-US" w:eastAsia="zh-CN"/>
          <w14:textFill>
            <w14:solidFill>
              <w14:schemeClr w14:val="tx1"/>
            </w14:solidFill>
          </w14:textFill>
        </w:rPr>
        <w:t>，通过补植补栽、整形修剪、树干保护、林业有害生物防治等措施在河滩镇完成花椒提质增效1570亩，有效控制病虫害，显著增加花椒产量、持续改善花椒品质，延伸拓展花椒产业链，示范带动周边地区花椒基地的建设和发展，加快花椒产业可持续发展。</w:t>
      </w:r>
    </w:p>
    <w:p w14:paraId="04FC697E">
      <w:pPr>
        <w:keepNext/>
        <w:keepLines/>
        <w:numPr>
          <w:numId w:val="0"/>
        </w:numPr>
        <w:suppressLineNumbers/>
        <w:spacing w:beforeLines="0" w:afterLines="0"/>
        <w:ind w:firstLine="480" w:firstLineChars="20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14:textFill>
            <w14:solidFill>
              <w14:schemeClr w14:val="tx1"/>
            </w14:solidFill>
          </w14:textFill>
        </w:rPr>
        <w:t>东乡县2023年折红路沿线人居环境整治综合提升项目</w:t>
      </w:r>
      <w:r>
        <w:rPr>
          <w:rFonts w:hint="eastAsia" w:ascii="宋体" w:hAnsi="宋体" w:cs="宋体"/>
          <w:color w:val="000000" w:themeColor="text1"/>
          <w:kern w:val="0"/>
          <w:sz w:val="24"/>
          <w:szCs w:val="24"/>
          <w:highlight w:val="none"/>
          <w:lang w:val="en-US" w:eastAsia="zh-CN"/>
          <w14:textFill>
            <w14:solidFill>
              <w14:schemeClr w14:val="tx1"/>
            </w14:solidFill>
          </w14:textFill>
        </w:rPr>
        <w:t>全年预算数388.425万元，执行数为377.872万元，执行率97.3；主要施工内容为：在折红路沿线房前屋后人居环境整治综合提升，栽植云杉、垂柳等乔木；栽植日本丁香、榆叶梅等灌木；种植百日菊、万寿菊、硫华菊、蜀葵等花卉；以及苗木整形修剪等，该项目的实施将极大的提升城镇形象，改善道路沿线基础配套设施，有利于周边地块的增值，促进乡镇经济的发展，提高人民的生活水平。</w:t>
      </w:r>
    </w:p>
    <w:p w14:paraId="3AA6160C">
      <w:pPr>
        <w:numPr>
          <w:ilvl w:val="0"/>
          <w:numId w:val="3"/>
        </w:numPr>
        <w:spacing w:before="100" w:beforeLines="0" w:after="100" w:afterLines="0"/>
        <w:jc w:val="left"/>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部门绩效评价结果</w:t>
      </w:r>
    </w:p>
    <w:p w14:paraId="43F7CE1A">
      <w:pPr>
        <w:numPr>
          <w:ilvl w:val="0"/>
          <w:numId w:val="0"/>
        </w:numPr>
        <w:spacing w:before="100" w:beforeLines="0" w:after="100" w:afterLines="0"/>
        <w:ind w:firstLine="480" w:firstLineChars="200"/>
        <w:jc w:val="left"/>
        <w:rPr>
          <w:rFonts w:hint="eastAsia" w:ascii="宋体" w:hAnsi="宋体"/>
          <w:b w:val="0"/>
          <w:bCs w:val="0"/>
          <w:color w:val="000000" w:themeColor="text1"/>
          <w:sz w:val="24"/>
          <w:szCs w:val="24"/>
          <w:highlight w:val="none"/>
          <w:lang w:val="zh-CN" w:eastAsia="zh-CN"/>
          <w14:textFill>
            <w14:solidFill>
              <w14:schemeClr w14:val="tx1"/>
            </w14:solidFill>
          </w14:textFill>
        </w:rPr>
      </w:pPr>
      <w:r>
        <w:rPr>
          <w:rFonts w:hint="eastAsia" w:ascii="宋体" w:hAnsi="宋体"/>
          <w:b w:val="0"/>
          <w:bCs w:val="0"/>
          <w:color w:val="000000" w:themeColor="text1"/>
          <w:sz w:val="24"/>
          <w:szCs w:val="24"/>
          <w:highlight w:val="none"/>
          <w:lang w:val="en-US" w:eastAsia="zh-CN"/>
          <w14:textFill>
            <w14:solidFill>
              <w14:schemeClr w14:val="tx1"/>
            </w14:solidFill>
          </w14:textFill>
        </w:rPr>
        <w:t>1、</w:t>
      </w:r>
      <w:r>
        <w:rPr>
          <w:rFonts w:hint="eastAsia" w:ascii="宋体" w:hAnsi="宋体"/>
          <w:b w:val="0"/>
          <w:bCs w:val="0"/>
          <w:color w:val="000000" w:themeColor="text1"/>
          <w:sz w:val="24"/>
          <w:szCs w:val="24"/>
          <w:highlight w:val="none"/>
          <w:lang w:val="zh-CN" w:eastAsia="zh-CN"/>
          <w14:textFill>
            <w14:solidFill>
              <w14:schemeClr w14:val="tx1"/>
            </w14:solidFill>
          </w14:textFill>
        </w:rPr>
        <w:t>东乡县花椒产业提质增效项目绩效表</w:t>
      </w:r>
    </w:p>
    <w:p w14:paraId="287CF1C7">
      <w:pPr>
        <w:spacing w:before="100" w:beforeLines="0" w:after="100" w:afterLines="0"/>
        <w:ind w:left="-619" w:leftChars="-295" w:firstLine="622" w:firstLineChars="258"/>
        <w:jc w:val="center"/>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drawing>
          <wp:inline distT="0" distB="0" distL="114300" distR="114300">
            <wp:extent cx="5598160" cy="7265035"/>
            <wp:effectExtent l="0" t="0" r="2540" b="12065"/>
            <wp:docPr id="14" name="图片 14" descr="1725868654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25868654825"/>
                    <pic:cNvPicPr>
                      <a:picLocks noChangeAspect="1"/>
                    </pic:cNvPicPr>
                  </pic:nvPicPr>
                  <pic:blipFill>
                    <a:blip r:embed="rId10"/>
                    <a:stretch>
                      <a:fillRect/>
                    </a:stretch>
                  </pic:blipFill>
                  <pic:spPr>
                    <a:xfrm>
                      <a:off x="0" y="0"/>
                      <a:ext cx="5598160" cy="7265035"/>
                    </a:xfrm>
                    <a:prstGeom prst="rect">
                      <a:avLst/>
                    </a:prstGeom>
                  </pic:spPr>
                </pic:pic>
              </a:graphicData>
            </a:graphic>
          </wp:inline>
        </w:drawing>
      </w:r>
    </w:p>
    <w:p w14:paraId="7C577C90">
      <w:pPr>
        <w:spacing w:before="100" w:beforeLines="0" w:after="100" w:afterLines="0"/>
        <w:ind w:left="-619" w:leftChars="-295" w:firstLine="622" w:firstLineChars="258"/>
        <w:jc w:val="center"/>
        <w:rPr>
          <w:rFonts w:hint="eastAsia" w:ascii="宋体" w:hAnsi="宋体"/>
          <w:b/>
          <w:bCs/>
          <w:color w:val="000000" w:themeColor="text1"/>
          <w:sz w:val="24"/>
          <w:szCs w:val="24"/>
          <w:highlight w:val="none"/>
          <w:lang w:val="en-US" w:eastAsia="zh-CN"/>
          <w14:textFill>
            <w14:solidFill>
              <w14:schemeClr w14:val="tx1"/>
            </w14:solidFill>
          </w14:textFill>
        </w:rPr>
      </w:pPr>
    </w:p>
    <w:p w14:paraId="245AE244">
      <w:pPr>
        <w:spacing w:before="100" w:beforeLines="0" w:after="100" w:afterLines="0"/>
        <w:ind w:left="-619" w:leftChars="-295" w:firstLine="622" w:firstLineChars="258"/>
        <w:jc w:val="center"/>
        <w:rPr>
          <w:rFonts w:hint="eastAsia" w:ascii="宋体" w:hAnsi="宋体"/>
          <w:b/>
          <w:bCs/>
          <w:color w:val="000000" w:themeColor="text1"/>
          <w:sz w:val="24"/>
          <w:szCs w:val="24"/>
          <w:highlight w:val="none"/>
          <w:lang w:val="en-US" w:eastAsia="zh-CN"/>
          <w14:textFill>
            <w14:solidFill>
              <w14:schemeClr w14:val="tx1"/>
            </w14:solidFill>
          </w14:textFill>
        </w:rPr>
      </w:pPr>
    </w:p>
    <w:p w14:paraId="72E21E96">
      <w:pPr>
        <w:spacing w:before="100" w:beforeLines="0" w:after="100" w:afterLines="0"/>
        <w:ind w:left="-619" w:leftChars="-295" w:firstLine="622" w:firstLineChars="258"/>
        <w:jc w:val="center"/>
        <w:rPr>
          <w:rFonts w:hint="eastAsia" w:ascii="宋体" w:hAnsi="宋体"/>
          <w:b/>
          <w:bCs/>
          <w:color w:val="000000" w:themeColor="text1"/>
          <w:sz w:val="24"/>
          <w:szCs w:val="24"/>
          <w:highlight w:val="none"/>
          <w:lang w:val="en-US" w:eastAsia="zh-CN"/>
          <w14:textFill>
            <w14:solidFill>
              <w14:schemeClr w14:val="tx1"/>
            </w14:solidFill>
          </w14:textFill>
        </w:rPr>
      </w:pPr>
    </w:p>
    <w:p w14:paraId="2436D16E">
      <w:pPr>
        <w:spacing w:before="100" w:beforeLines="0" w:after="100" w:afterLines="0"/>
        <w:ind w:left="-619" w:leftChars="-295" w:firstLine="622" w:firstLineChars="258"/>
        <w:jc w:val="center"/>
        <w:rPr>
          <w:rFonts w:hint="eastAsia" w:ascii="宋体" w:hAnsi="宋体" w:eastAsia="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14:textFill>
            <w14:solidFill>
              <w14:schemeClr w14:val="tx1"/>
            </w14:solidFill>
          </w14:textFill>
        </w:rPr>
        <w:t>东乡县2023年折红路沿线人居环境整治综合提升项目</w:t>
      </w:r>
      <w:r>
        <w:rPr>
          <w:rFonts w:hint="eastAsia" w:ascii="宋体" w:hAnsi="宋体" w:cs="宋体"/>
          <w:color w:val="000000" w:themeColor="text1"/>
          <w:kern w:val="0"/>
          <w:sz w:val="24"/>
          <w:szCs w:val="24"/>
          <w:highlight w:val="none"/>
          <w:lang w:val="en-US" w:eastAsia="zh-CN"/>
          <w14:textFill>
            <w14:solidFill>
              <w14:schemeClr w14:val="tx1"/>
            </w14:solidFill>
          </w14:textFill>
        </w:rPr>
        <w:t>绩效目标表</w:t>
      </w:r>
    </w:p>
    <w:p w14:paraId="0B0B7D5E">
      <w:pPr>
        <w:spacing w:before="100" w:beforeLines="0" w:after="100" w:afterLines="0"/>
        <w:ind w:left="-619" w:leftChars="-295" w:firstLine="622" w:firstLineChars="258"/>
        <w:jc w:val="center"/>
        <w:rPr>
          <w:rFonts w:hint="default" w:ascii="宋体" w:hAnsi="宋体"/>
          <w:b/>
          <w:bCs/>
          <w:color w:val="000000" w:themeColor="text1"/>
          <w:sz w:val="24"/>
          <w:szCs w:val="24"/>
          <w:highlight w:val="none"/>
          <w:lang w:val="en-US" w:eastAsia="zh-CN"/>
          <w14:textFill>
            <w14:solidFill>
              <w14:schemeClr w14:val="tx1"/>
            </w14:solidFill>
          </w14:textFill>
        </w:rPr>
      </w:pPr>
      <w:r>
        <w:rPr>
          <w:rFonts w:hint="default" w:ascii="宋体" w:hAnsi="宋体"/>
          <w:b/>
          <w:bCs/>
          <w:color w:val="000000" w:themeColor="text1"/>
          <w:sz w:val="24"/>
          <w:szCs w:val="24"/>
          <w:highlight w:val="none"/>
          <w:lang w:val="en-US" w:eastAsia="zh-CN"/>
          <w14:textFill>
            <w14:solidFill>
              <w14:schemeClr w14:val="tx1"/>
            </w14:solidFill>
          </w14:textFill>
        </w:rPr>
        <w:drawing>
          <wp:inline distT="0" distB="0" distL="114300" distR="114300">
            <wp:extent cx="5595620" cy="7338060"/>
            <wp:effectExtent l="0" t="0" r="5080" b="15240"/>
            <wp:docPr id="13" name="图片 13" descr="1725867258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25867258052"/>
                    <pic:cNvPicPr>
                      <a:picLocks noChangeAspect="1"/>
                    </pic:cNvPicPr>
                  </pic:nvPicPr>
                  <pic:blipFill>
                    <a:blip r:embed="rId11"/>
                    <a:stretch>
                      <a:fillRect/>
                    </a:stretch>
                  </pic:blipFill>
                  <pic:spPr>
                    <a:xfrm>
                      <a:off x="0" y="0"/>
                      <a:ext cx="5595620" cy="7338060"/>
                    </a:xfrm>
                    <a:prstGeom prst="rect">
                      <a:avLst/>
                    </a:prstGeom>
                  </pic:spPr>
                </pic:pic>
              </a:graphicData>
            </a:graphic>
          </wp:inline>
        </w:drawing>
      </w:r>
    </w:p>
    <w:p w14:paraId="279B95E3">
      <w:pPr>
        <w:spacing w:before="100" w:beforeLines="0" w:after="100" w:afterLines="0"/>
        <w:jc w:val="center"/>
        <w:rPr>
          <w:rFonts w:hint="eastAsia" w:ascii="宋体" w:hAnsi="宋体"/>
          <w:b/>
          <w:bCs/>
          <w:color w:val="000000" w:themeColor="text1"/>
          <w:sz w:val="24"/>
          <w:szCs w:val="24"/>
          <w:highlight w:val="none"/>
          <w:lang w:val="zh-CN" w:eastAsia="zh-CN"/>
          <w14:textFill>
            <w14:solidFill>
              <w14:schemeClr w14:val="tx1"/>
            </w14:solidFill>
          </w14:textFill>
        </w:rPr>
      </w:pPr>
      <w:r>
        <w:rPr>
          <w:rFonts w:hint="eastAsia" w:ascii="宋体" w:hAnsi="宋体"/>
          <w:b/>
          <w:bCs/>
          <w:color w:val="000000" w:themeColor="text1"/>
          <w:sz w:val="24"/>
          <w:szCs w:val="24"/>
          <w:highlight w:val="none"/>
          <w:lang w:val="zh-CN" w:eastAsia="zh-CN"/>
          <w14:textFill>
            <w14:solidFill>
              <w14:schemeClr w14:val="tx1"/>
            </w14:solidFill>
          </w14:textFill>
        </w:rPr>
        <w:t>第五部分</w:t>
      </w:r>
      <w:r>
        <w:rPr>
          <w:rFonts w:hint="eastAsia" w:ascii="宋体" w:hAnsi="宋体"/>
          <w:b/>
          <w:bCs/>
          <w:color w:val="000000" w:themeColor="text1"/>
          <w:sz w:val="24"/>
          <w:szCs w:val="24"/>
          <w:highlight w:val="none"/>
          <w:lang w:val="en-US" w:eastAsia="zh-CN"/>
          <w14:textFill>
            <w14:solidFill>
              <w14:schemeClr w14:val="tx1"/>
            </w14:solidFill>
          </w14:textFill>
        </w:rPr>
        <w:t xml:space="preserve">  </w:t>
      </w:r>
      <w:r>
        <w:rPr>
          <w:rFonts w:hint="eastAsia" w:ascii="宋体" w:hAnsi="宋体"/>
          <w:b/>
          <w:bCs/>
          <w:color w:val="000000" w:themeColor="text1"/>
          <w:sz w:val="24"/>
          <w:szCs w:val="24"/>
          <w:highlight w:val="none"/>
          <w:lang w:val="zh-CN" w:eastAsia="zh-CN"/>
          <w14:textFill>
            <w14:solidFill>
              <w14:schemeClr w14:val="tx1"/>
            </w14:solidFill>
          </w14:textFill>
        </w:rPr>
        <w:t>名词解释</w:t>
      </w:r>
    </w:p>
    <w:p w14:paraId="4A1A44B5">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以下为常见专业名词解释目录,仅供参考,部门应根据实际情况进行解释和增减。比如可将类级功能科目和经济科目细化解释到项级。若有删减注意调整段落序号。</w:t>
      </w:r>
    </w:p>
    <w:p w14:paraId="5F39AF4F">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一、财政拨款收入</w:t>
      </w:r>
      <w:r>
        <w:rPr>
          <w:rFonts w:hint="eastAsia" w:ascii="宋体" w:hAnsi="宋体" w:eastAsia="宋体" w:cs="宋体"/>
          <w:color w:val="000000" w:themeColor="text1"/>
          <w:sz w:val="24"/>
          <w:szCs w:val="24"/>
          <w:highlight w:val="none"/>
          <w:lang w:val="zh-CN"/>
          <w14:textFill>
            <w14:solidFill>
              <w14:schemeClr w14:val="tx1"/>
            </w14:solidFill>
          </w14:textFill>
        </w:rPr>
        <w:t>：指本年度从同级财政部门取得的财政拨款,包括一般公共预算财政拨款、政府性基金预算财政拨款和国有资本经营预算财政拨款。</w:t>
      </w:r>
    </w:p>
    <w:p w14:paraId="6B0BADF0">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二、事业收入</w:t>
      </w:r>
      <w:r>
        <w:rPr>
          <w:rFonts w:hint="eastAsia" w:ascii="宋体" w:hAnsi="宋体" w:eastAsia="宋体" w:cs="宋体"/>
          <w:color w:val="000000" w:themeColor="text1"/>
          <w:sz w:val="24"/>
          <w:szCs w:val="24"/>
          <w:highlight w:val="none"/>
          <w:lang w:val="zh-CN"/>
          <w14:textFill>
            <w14:solidFill>
              <w14:schemeClr w14:val="tx1"/>
            </w14:solidFill>
          </w14:textFill>
        </w:rPr>
        <w:t>：指事业单位开展专业业务活动及其辅助活动取得的收入。</w:t>
      </w:r>
    </w:p>
    <w:p w14:paraId="5A326533">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三、经营收入</w:t>
      </w:r>
      <w:r>
        <w:rPr>
          <w:rFonts w:hint="eastAsia" w:ascii="宋体" w:hAnsi="宋体" w:eastAsia="宋体" w:cs="宋体"/>
          <w:color w:val="000000" w:themeColor="text1"/>
          <w:sz w:val="24"/>
          <w:szCs w:val="24"/>
          <w:highlight w:val="none"/>
          <w:lang w:val="zh-CN"/>
          <w14:textFill>
            <w14:solidFill>
              <w14:schemeClr w14:val="tx1"/>
            </w14:solidFill>
          </w14:textFill>
        </w:rPr>
        <w:t>：指事业单位在专业业务活动及其辅助活动之外开展非独立核算经营活动取得的收入。</w:t>
      </w:r>
    </w:p>
    <w:p w14:paraId="1C752B5F">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四、其他收入</w:t>
      </w:r>
      <w:r>
        <w:rPr>
          <w:rFonts w:hint="eastAsia" w:ascii="宋体" w:hAnsi="宋体" w:eastAsia="宋体" w:cs="宋体"/>
          <w:color w:val="000000" w:themeColor="text1"/>
          <w:sz w:val="24"/>
          <w:szCs w:val="24"/>
          <w:highlight w:val="none"/>
          <w:lang w:val="zh-CN"/>
          <w14:textFill>
            <w14:solidFill>
              <w14:schemeClr w14:val="tx1"/>
            </w14:solidFill>
          </w14:textFill>
        </w:rPr>
        <w:t>：指除上述“财政拨款收入”“事业收入”、“经营收入”以外的收入。</w:t>
      </w:r>
    </w:p>
    <w:p w14:paraId="20FC897D">
      <w:pPr>
        <w:spacing w:before="100" w:beforeLines="0" w:after="100" w:afterLines="0"/>
        <w:jc w:val="both"/>
        <w:rPr>
          <w:rFonts w:hint="eastAsia" w:ascii="宋体" w:hAnsi="宋体" w:eastAsia="宋体" w:cs="宋体"/>
          <w:b w:val="0"/>
          <w:bCs w:val="0"/>
          <w:color w:val="000000" w:themeColor="text1"/>
          <w:sz w:val="24"/>
          <w:szCs w:val="24"/>
          <w:highlight w:val="none"/>
          <w:lang w:val="zh-CN"/>
          <w14:textFill>
            <w14:solidFill>
              <w14:schemeClr w14:val="tx1"/>
            </w14:solidFill>
          </w14:textFill>
        </w:rPr>
      </w:pPr>
      <w:r>
        <w:rPr>
          <w:rFonts w:hint="eastAsia" w:ascii="宋体" w:hAnsi="宋体" w:eastAsia="宋体" w:cs="宋体"/>
          <w:b/>
          <w:bCs/>
          <w:color w:val="000000" w:themeColor="text1"/>
          <w:sz w:val="24"/>
          <w:szCs w:val="24"/>
          <w:highlight w:val="none"/>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highlight w:val="none"/>
          <w:lang w:val="zh-CN"/>
          <w14:textFill>
            <w14:solidFill>
              <w14:schemeClr w14:val="tx1"/>
            </w14:solidFill>
          </w14:textFill>
        </w:rPr>
        <w:t>指事业单位按照预算管理要求使用非财政拨款结余弥补收支差额的金额，以及使用专用结余安排支出的金额。</w:t>
      </w:r>
    </w:p>
    <w:p w14:paraId="2DD31F95">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六、年初结转和结余</w:t>
      </w:r>
      <w:r>
        <w:rPr>
          <w:rFonts w:hint="eastAsia" w:ascii="宋体" w:hAnsi="宋体" w:eastAsia="宋体" w:cs="宋体"/>
          <w:color w:val="000000" w:themeColor="text1"/>
          <w:sz w:val="24"/>
          <w:szCs w:val="24"/>
          <w:highlight w:val="none"/>
          <w:lang w:val="zh-CN"/>
          <w14:textFill>
            <w14:solidFill>
              <w14:schemeClr w14:val="tx1"/>
            </w14:solidFill>
          </w14:textFill>
        </w:rPr>
        <w:t>：指单位上年结转至本年使用的基本支出结转、项目支出结转和结余、经营结余。</w:t>
      </w:r>
    </w:p>
    <w:p w14:paraId="6DFD4874">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七、结余分配</w:t>
      </w:r>
      <w:r>
        <w:rPr>
          <w:rFonts w:hint="eastAsia" w:ascii="宋体" w:hAnsi="宋体" w:eastAsia="宋体" w:cs="宋体"/>
          <w:color w:val="000000" w:themeColor="text1"/>
          <w:sz w:val="24"/>
          <w:szCs w:val="24"/>
          <w:highlight w:val="none"/>
          <w:lang w:val="zh-CN"/>
          <w14:textFill>
            <w14:solidFill>
              <w14:schemeClr w14:val="tx1"/>
            </w14:solidFill>
          </w14:textFill>
        </w:rPr>
        <w:t>：指单位按照会计制度规定缴纳的所得税、提取的专用结余以及转入非财政拨款结余的金额等。</w:t>
      </w:r>
    </w:p>
    <w:p w14:paraId="4CE69526">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八、年末结转和结余</w:t>
      </w:r>
      <w:r>
        <w:rPr>
          <w:rFonts w:hint="eastAsia" w:ascii="宋体" w:hAnsi="宋体" w:eastAsia="宋体" w:cs="宋体"/>
          <w:color w:val="000000" w:themeColor="text1"/>
          <w:sz w:val="24"/>
          <w:szCs w:val="24"/>
          <w:highlight w:val="none"/>
          <w:lang w:val="zh-CN"/>
          <w14:textFill>
            <w14:solidFill>
              <w14:schemeClr w14:val="tx1"/>
            </w14:solidFill>
          </w14:textFill>
        </w:rPr>
        <w:t>：指单位按有关规定结转到下年的基本支出结转、项目支出结转和结余、经营结余。</w:t>
      </w:r>
    </w:p>
    <w:p w14:paraId="40AE0DF4">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九、基本支出</w:t>
      </w:r>
      <w:r>
        <w:rPr>
          <w:rFonts w:hint="eastAsia" w:ascii="宋体" w:hAnsi="宋体" w:eastAsia="宋体" w:cs="宋体"/>
          <w:color w:val="000000" w:themeColor="text1"/>
          <w:sz w:val="24"/>
          <w:szCs w:val="24"/>
          <w:highlight w:val="none"/>
          <w:lang w:val="zh-CN"/>
          <w14:textFill>
            <w14:solidFill>
              <w14:schemeClr w14:val="tx1"/>
            </w14:solidFill>
          </w14:textFill>
        </w:rPr>
        <w:t>：指为保障机构正常运转、完成日常工作任务而发生的人员经费和公用经费。</w:t>
      </w:r>
    </w:p>
    <w:p w14:paraId="7490E045">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十、项目支出</w:t>
      </w:r>
      <w:r>
        <w:rPr>
          <w:rFonts w:hint="eastAsia" w:ascii="宋体" w:hAnsi="宋体" w:eastAsia="宋体" w:cs="宋体"/>
          <w:color w:val="000000" w:themeColor="text1"/>
          <w:sz w:val="24"/>
          <w:szCs w:val="24"/>
          <w:highlight w:val="none"/>
          <w:lang w:val="zh-CN"/>
          <w14:textFill>
            <w14:solidFill>
              <w14:schemeClr w14:val="tx1"/>
            </w14:solidFill>
          </w14:textFill>
        </w:rPr>
        <w:t>：指在基本支出之外为完成特定行政任务或事业发展目标所发生的支出。</w:t>
      </w:r>
    </w:p>
    <w:p w14:paraId="13825917">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十一、经营支出</w:t>
      </w:r>
      <w:r>
        <w:rPr>
          <w:rFonts w:hint="eastAsia" w:ascii="宋体" w:hAnsi="宋体" w:eastAsia="宋体" w:cs="宋体"/>
          <w:color w:val="000000" w:themeColor="text1"/>
          <w:sz w:val="24"/>
          <w:szCs w:val="24"/>
          <w:highlight w:val="none"/>
          <w:lang w:val="zh-CN"/>
          <w14:textFill>
            <w14:solidFill>
              <w14:schemeClr w14:val="tx1"/>
            </w14:solidFill>
          </w14:textFill>
        </w:rPr>
        <w:t>：指事业单位在专业业务活动及其辅助活动之外开展非独立核算经营活动发生的支出。</w:t>
      </w:r>
    </w:p>
    <w:p w14:paraId="371ACB95">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十二、“三公”经费</w:t>
      </w:r>
      <w:r>
        <w:rPr>
          <w:rFonts w:hint="eastAsia" w:ascii="宋体" w:hAnsi="宋体" w:eastAsia="宋体" w:cs="宋体"/>
          <w:color w:val="000000" w:themeColor="text1"/>
          <w:sz w:val="24"/>
          <w:szCs w:val="24"/>
          <w:highlight w:val="none"/>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E60163F">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十三、机关运行经费</w:t>
      </w:r>
      <w:r>
        <w:rPr>
          <w:rFonts w:hint="eastAsia" w:ascii="宋体" w:hAnsi="宋体" w:eastAsia="宋体" w:cs="宋体"/>
          <w:color w:val="000000" w:themeColor="text1"/>
          <w:sz w:val="24"/>
          <w:szCs w:val="24"/>
          <w:highlight w:val="none"/>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2494EB">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b/>
          <w:color w:val="000000" w:themeColor="text1"/>
          <w:sz w:val="24"/>
          <w:szCs w:val="24"/>
          <w:highlight w:val="none"/>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highlight w:val="none"/>
          <w:lang w:val="zh-CN"/>
          <w14:textFill>
            <w14:solidFill>
              <w14:schemeClr w14:val="tx1"/>
            </w14:solidFill>
          </w14:textFill>
        </w:rPr>
        <w:t>反映机关事业单位实施养老保险制度由单位缴纳的基本养老保险支出。</w:t>
      </w:r>
    </w:p>
    <w:p w14:paraId="04A695CA">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（根据“收入决算表”和“支出决算表”，参照第十四项说明，对本部门所有涉及到的项级支出功能科目进行说明，注意不要重复，并调整段落序号）</w:t>
      </w:r>
    </w:p>
    <w:p w14:paraId="0D314338">
      <w:pPr>
        <w:spacing w:before="100" w:beforeLines="0" w:after="100" w:afterLines="0"/>
        <w:ind w:firstLine="480" w:firstLineChars="20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w:t>
      </w:r>
    </w:p>
    <w:p w14:paraId="67682A1D">
      <w:pPr>
        <w:spacing w:before="100" w:beforeLines="0" w:after="100" w:afterLines="0"/>
        <w:jc w:val="both"/>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（请部门（单位）对涉及到专业名词进行补充解释，注意不要重复，并调整段落序号）</w:t>
      </w:r>
    </w:p>
    <w:p w14:paraId="43F275CC">
      <w:pPr>
        <w:spacing w:before="100" w:beforeLines="0" w:after="100" w:afterLines="0"/>
        <w:jc w:val="both"/>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sectPr>
      <w:pgSz w:w="12240" w:h="15840"/>
      <w:pgMar w:top="1440" w:right="162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D160F"/>
    <w:multiLevelType w:val="singleLevel"/>
    <w:tmpl w:val="805D160F"/>
    <w:lvl w:ilvl="0" w:tentative="0">
      <w:start w:val="1"/>
      <w:numFmt w:val="chineseCounting"/>
      <w:suff w:val="nothing"/>
      <w:lvlText w:val="%1、"/>
      <w:lvlJc w:val="left"/>
      <w:rPr>
        <w:rFonts w:hint="eastAsia"/>
      </w:rPr>
    </w:lvl>
  </w:abstractNum>
  <w:abstractNum w:abstractNumId="1">
    <w:nsid w:val="94E80FA4"/>
    <w:multiLevelType w:val="singleLevel"/>
    <w:tmpl w:val="94E80FA4"/>
    <w:lvl w:ilvl="0" w:tentative="0">
      <w:start w:val="3"/>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NmVhOGY2NGE0MGY3N2Y4YmMzMjhiZGJkODEzYmYifQ=="/>
  </w:docVars>
  <w:rsids>
    <w:rsidRoot w:val="00000000"/>
    <w:rsid w:val="051671ED"/>
    <w:rsid w:val="052615FE"/>
    <w:rsid w:val="07D1358A"/>
    <w:rsid w:val="1B496BEE"/>
    <w:rsid w:val="1BBB0703"/>
    <w:rsid w:val="241019D0"/>
    <w:rsid w:val="409B298A"/>
    <w:rsid w:val="41D37CA5"/>
    <w:rsid w:val="45921C25"/>
    <w:rsid w:val="560F22D8"/>
    <w:rsid w:val="58785633"/>
    <w:rsid w:val="6931512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d311f789-1938-444a-8479-940bceec525d}">
  <ds:schemaRefs/>
</ds:datastoreItem>
</file>

<file path=customXml/itemProps2.xml><?xml version="1.0" encoding="utf-8"?>
<ds:datastoreItem xmlns:ds="http://schemas.openxmlformats.org/officeDocument/2006/customXml" ds:itemID="{390b6846-7139-4f44-a540-dabc17f75e78}">
  <ds:schemaRefs/>
</ds:datastoreItem>
</file>

<file path=customXml/itemProps3.xml><?xml version="1.0" encoding="utf-8"?>
<ds:datastoreItem xmlns:ds="http://schemas.openxmlformats.org/officeDocument/2006/customXml" ds:itemID="{ecbc2d70-ebb7-4b06-87f4-982b0d8e6d16}">
  <ds:schemaRefs/>
</ds:datastoreItem>
</file>

<file path=customXml/itemProps4.xml><?xml version="1.0" encoding="utf-8"?>
<ds:datastoreItem xmlns:ds="http://schemas.openxmlformats.org/officeDocument/2006/customXml" ds:itemID="{cb4c59fb-0e4b-46fa-ae45-bddc78b746f7}">
  <ds:schemaRefs/>
</ds:datastoreItem>
</file>

<file path=customXml/itemProps5.xml><?xml version="1.0" encoding="utf-8"?>
<ds:datastoreItem xmlns:ds="http://schemas.openxmlformats.org/officeDocument/2006/customXml" ds:itemID="{891b1be1-9ce3-47b3-b8c6-209768fa47ef}">
  <ds:schemaRefs/>
</ds:datastoreItem>
</file>

<file path=customXml/itemProps6.xml><?xml version="1.0" encoding="utf-8"?>
<ds:datastoreItem xmlns:ds="http://schemas.openxmlformats.org/officeDocument/2006/customXml" ds:itemID="{471c0018-ea9f-44f8-9ff4-594f9cbc4b5e}">
  <ds:schemaRefs/>
</ds:datastoreItem>
</file>

<file path=customXml/itemProps7.xml><?xml version="1.0" encoding="utf-8"?>
<ds:datastoreItem xmlns:ds="http://schemas.openxmlformats.org/officeDocument/2006/customXml" ds:itemID="{684c5d39-a325-44b2-bdfe-bf040eb768a5}">
  <ds:schemaRefs/>
</ds:datastoreItem>
</file>

<file path=customXml/itemProps8.xml><?xml version="1.0" encoding="utf-8"?>
<ds:datastoreItem xmlns:ds="http://schemas.openxmlformats.org/officeDocument/2006/customXml" ds:itemID="{ae1b2934-538e-4480-8bb6-0f85b3de6282}">
  <ds:schemaRefs/>
</ds:datastoreItem>
</file>

<file path=customXml/itemProps9.xml><?xml version="1.0" encoding="utf-8"?>
<ds:datastoreItem xmlns:ds="http://schemas.openxmlformats.org/officeDocument/2006/customXml" ds:itemID="{251120eb-4ee3-4fd2-bce4-b28f924cc9c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8670</Words>
  <Characters>9171</Characters>
  <Lines>0</Lines>
  <Paragraphs>0</Paragraphs>
  <TotalTime>13</TotalTime>
  <ScaleCrop>false</ScaleCrop>
  <LinksUpToDate>false</LinksUpToDate>
  <CharactersWithSpaces>9187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2024-09-11T02:26:58Z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3C83AABEBB504C07B0796B6FC7FA7B1F_13</vt:lpwstr>
  </property>
</Properties>
</file>