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FF8E2">
      <w:pPr>
        <w:pageBreakBefore w:val="0"/>
        <w:widowControl/>
        <w:kinsoku/>
        <w:wordWrap/>
        <w:overflowPunct/>
        <w:topLinePunct w:val="0"/>
        <w:autoSpaceDE/>
        <w:autoSpaceDN/>
        <w:bidi w:val="0"/>
        <w:adjustRightInd/>
        <w:snapToGrid/>
        <w:spacing w:before="100" w:beforeLines="0" w:after="100" w:afterLines="0"/>
        <w:ind w:firstLine="480" w:firstLineChars="200"/>
        <w:jc w:val="center"/>
        <w:textAlignment w:val="auto"/>
        <w:rPr>
          <w:rFonts w:hint="eastAsia" w:ascii="宋体" w:hAnsi="宋体"/>
          <w:color w:val="auto"/>
          <w:sz w:val="24"/>
          <w:szCs w:val="24"/>
          <w:lang w:val="zh-CN"/>
        </w:rPr>
      </w:pPr>
    </w:p>
    <w:p w14:paraId="1B643485">
      <w:pPr>
        <w:pageBreakBefore w:val="0"/>
        <w:widowControl/>
        <w:kinsoku/>
        <w:wordWrap/>
        <w:overflowPunct/>
        <w:topLinePunct w:val="0"/>
        <w:autoSpaceDE/>
        <w:autoSpaceDN/>
        <w:bidi w:val="0"/>
        <w:adjustRightInd/>
        <w:snapToGrid/>
        <w:spacing w:before="100" w:beforeLines="0" w:after="100" w:afterLines="0"/>
        <w:ind w:firstLine="480" w:firstLineChars="200"/>
        <w:jc w:val="center"/>
        <w:textAlignment w:val="auto"/>
        <w:rPr>
          <w:rFonts w:hint="eastAsia" w:ascii="宋体" w:hAnsi="宋体"/>
          <w:color w:val="auto"/>
          <w:sz w:val="24"/>
          <w:szCs w:val="24"/>
          <w:lang w:val="zh-CN"/>
        </w:rPr>
      </w:pPr>
    </w:p>
    <w:p w14:paraId="4D05D54F">
      <w:pPr>
        <w:pageBreakBefore w:val="0"/>
        <w:widowControl/>
        <w:kinsoku/>
        <w:wordWrap/>
        <w:overflowPunct/>
        <w:topLinePunct w:val="0"/>
        <w:autoSpaceDE/>
        <w:autoSpaceDN/>
        <w:bidi w:val="0"/>
        <w:adjustRightInd/>
        <w:snapToGrid/>
        <w:spacing w:before="100" w:beforeLines="0" w:after="100" w:afterLines="0"/>
        <w:ind w:firstLine="480" w:firstLineChars="200"/>
        <w:jc w:val="center"/>
        <w:textAlignment w:val="auto"/>
        <w:rPr>
          <w:rFonts w:hint="eastAsia" w:ascii="宋体" w:hAnsi="宋体"/>
          <w:color w:val="auto"/>
          <w:sz w:val="24"/>
          <w:szCs w:val="24"/>
          <w:lang w:val="zh-CN"/>
        </w:rPr>
      </w:pPr>
    </w:p>
    <w:p w14:paraId="3A68581C">
      <w:pPr>
        <w:pageBreakBefore w:val="0"/>
        <w:widowControl/>
        <w:kinsoku/>
        <w:wordWrap/>
        <w:overflowPunct/>
        <w:topLinePunct w:val="0"/>
        <w:autoSpaceDE/>
        <w:autoSpaceDN/>
        <w:bidi w:val="0"/>
        <w:adjustRightInd/>
        <w:snapToGrid/>
        <w:spacing w:before="100" w:beforeLines="0" w:after="100" w:afterLines="0"/>
        <w:ind w:firstLine="480" w:firstLineChars="200"/>
        <w:jc w:val="center"/>
        <w:textAlignment w:val="auto"/>
        <w:rPr>
          <w:rFonts w:hint="eastAsia" w:ascii="宋体" w:hAnsi="宋体"/>
          <w:color w:val="auto"/>
          <w:sz w:val="24"/>
          <w:szCs w:val="24"/>
          <w:lang w:val="zh-CN"/>
        </w:rPr>
      </w:pPr>
    </w:p>
    <w:p w14:paraId="627C0A4A">
      <w:pPr>
        <w:pageBreakBefore w:val="0"/>
        <w:widowControl/>
        <w:kinsoku/>
        <w:wordWrap/>
        <w:overflowPunct/>
        <w:topLinePunct w:val="0"/>
        <w:autoSpaceDE/>
        <w:autoSpaceDN/>
        <w:bidi w:val="0"/>
        <w:adjustRightInd/>
        <w:snapToGrid/>
        <w:spacing w:before="100" w:beforeLines="0" w:after="100" w:afterLines="0"/>
        <w:ind w:firstLine="480" w:firstLineChars="200"/>
        <w:jc w:val="center"/>
        <w:textAlignment w:val="auto"/>
        <w:rPr>
          <w:rFonts w:hint="eastAsia" w:ascii="宋体" w:hAnsi="宋体"/>
          <w:color w:val="auto"/>
          <w:sz w:val="24"/>
          <w:szCs w:val="24"/>
          <w:lang w:val="zh-CN"/>
        </w:rPr>
      </w:pPr>
    </w:p>
    <w:p w14:paraId="0A348548">
      <w:pPr>
        <w:pageBreakBefore w:val="0"/>
        <w:widowControl/>
        <w:kinsoku/>
        <w:wordWrap/>
        <w:overflowPunct/>
        <w:topLinePunct w:val="0"/>
        <w:autoSpaceDE/>
        <w:autoSpaceDN/>
        <w:bidi w:val="0"/>
        <w:adjustRightInd/>
        <w:snapToGrid/>
        <w:spacing w:before="100" w:beforeLines="0" w:after="100" w:afterLines="0"/>
        <w:ind w:firstLine="480" w:firstLineChars="200"/>
        <w:jc w:val="center"/>
        <w:textAlignment w:val="auto"/>
        <w:rPr>
          <w:rFonts w:hint="eastAsia" w:ascii="宋体" w:hAnsi="宋体"/>
          <w:color w:val="auto"/>
          <w:sz w:val="24"/>
          <w:szCs w:val="24"/>
          <w:lang w:val="zh-CN"/>
        </w:rPr>
      </w:pPr>
    </w:p>
    <w:p w14:paraId="6DE885BA">
      <w:pPr>
        <w:pageBreakBefore w:val="0"/>
        <w:widowControl/>
        <w:kinsoku/>
        <w:wordWrap/>
        <w:overflowPunct/>
        <w:topLinePunct w:val="0"/>
        <w:autoSpaceDE/>
        <w:autoSpaceDN/>
        <w:bidi w:val="0"/>
        <w:adjustRightInd/>
        <w:snapToGrid/>
        <w:spacing w:before="100" w:beforeLines="0" w:after="100" w:afterLines="0"/>
        <w:ind w:firstLine="480" w:firstLineChars="200"/>
        <w:jc w:val="center"/>
        <w:textAlignment w:val="auto"/>
        <w:rPr>
          <w:rFonts w:hint="eastAsia" w:ascii="宋体" w:hAnsi="宋体"/>
          <w:color w:val="auto"/>
          <w:sz w:val="24"/>
          <w:szCs w:val="24"/>
          <w:lang w:val="zh-CN"/>
        </w:rPr>
      </w:pPr>
    </w:p>
    <w:p w14:paraId="22E6D7C1">
      <w:pPr>
        <w:pageBreakBefore w:val="0"/>
        <w:widowControl/>
        <w:kinsoku/>
        <w:wordWrap/>
        <w:overflowPunct/>
        <w:topLinePunct w:val="0"/>
        <w:autoSpaceDE/>
        <w:autoSpaceDN/>
        <w:bidi w:val="0"/>
        <w:adjustRightInd/>
        <w:snapToGrid/>
        <w:spacing w:before="100" w:beforeLines="0" w:after="100" w:afterLines="0"/>
        <w:ind w:firstLine="480" w:firstLineChars="200"/>
        <w:jc w:val="center"/>
        <w:textAlignment w:val="auto"/>
        <w:rPr>
          <w:rFonts w:hint="eastAsia" w:ascii="宋体" w:hAnsi="宋体"/>
          <w:color w:val="auto"/>
          <w:sz w:val="24"/>
          <w:szCs w:val="24"/>
          <w:lang w:val="zh-CN"/>
        </w:rPr>
      </w:pPr>
    </w:p>
    <w:p w14:paraId="2B161869">
      <w:pPr>
        <w:pageBreakBefore w:val="0"/>
        <w:widowControl/>
        <w:kinsoku/>
        <w:wordWrap/>
        <w:overflowPunct/>
        <w:topLinePunct w:val="0"/>
        <w:autoSpaceDE/>
        <w:autoSpaceDN/>
        <w:bidi w:val="0"/>
        <w:adjustRightInd/>
        <w:snapToGrid/>
        <w:spacing w:before="100" w:beforeLines="0" w:after="100" w:afterLines="0"/>
        <w:ind w:firstLine="480" w:firstLineChars="200"/>
        <w:jc w:val="center"/>
        <w:textAlignment w:val="auto"/>
        <w:rPr>
          <w:rFonts w:hint="eastAsia" w:ascii="宋体" w:hAnsi="宋体"/>
          <w:color w:val="auto"/>
          <w:sz w:val="24"/>
          <w:szCs w:val="24"/>
          <w:lang w:val="zh-CN"/>
        </w:rPr>
      </w:pPr>
    </w:p>
    <w:p w14:paraId="7F8FFE8B">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2D704322">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07C64738">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15836835">
      <w:pPr>
        <w:pageBreakBefore w:val="0"/>
        <w:widowControl/>
        <w:kinsoku/>
        <w:wordWrap/>
        <w:overflowPunct/>
        <w:topLinePunct w:val="0"/>
        <w:autoSpaceDE/>
        <w:autoSpaceDN/>
        <w:bidi w:val="0"/>
        <w:adjustRightInd/>
        <w:snapToGrid/>
        <w:spacing w:before="100" w:beforeLines="0" w:after="100" w:afterLines="0"/>
        <w:ind w:firstLine="480" w:firstLineChars="200"/>
        <w:jc w:val="center"/>
        <w:textAlignment w:val="auto"/>
        <w:rPr>
          <w:rFonts w:hint="eastAsia" w:ascii="宋体" w:hAnsi="宋体"/>
          <w:color w:val="auto"/>
          <w:sz w:val="24"/>
          <w:szCs w:val="24"/>
          <w:lang w:val="zh-CN"/>
        </w:rPr>
      </w:pPr>
      <w:r>
        <w:rPr>
          <w:rFonts w:hint="eastAsia" w:ascii="宋体" w:hAnsi="宋体"/>
          <w:color w:val="auto"/>
          <w:sz w:val="24"/>
          <w:szCs w:val="24"/>
          <w:lang w:val="zh-CN"/>
        </w:rPr>
        <w:t>2023年度</w:t>
      </w:r>
    </w:p>
    <w:p w14:paraId="28D5E8F2">
      <w:pPr>
        <w:pageBreakBefore w:val="0"/>
        <w:widowControl/>
        <w:kinsoku/>
        <w:wordWrap/>
        <w:overflowPunct/>
        <w:topLinePunct w:val="0"/>
        <w:autoSpaceDE/>
        <w:autoSpaceDN/>
        <w:bidi w:val="0"/>
        <w:adjustRightInd/>
        <w:snapToGrid/>
        <w:spacing w:before="100" w:beforeLines="0" w:after="100" w:afterLines="0"/>
        <w:ind w:firstLine="480" w:firstLineChars="200"/>
        <w:jc w:val="center"/>
        <w:textAlignment w:val="auto"/>
        <w:rPr>
          <w:rFonts w:hint="eastAsia" w:ascii="宋体" w:hAnsi="宋体"/>
          <w:color w:val="auto"/>
          <w:sz w:val="24"/>
          <w:szCs w:val="24"/>
          <w:lang w:val="zh-CN"/>
        </w:rPr>
      </w:pPr>
      <w:r>
        <w:rPr>
          <w:rFonts w:hint="eastAsia" w:ascii="宋体" w:hAnsi="宋体"/>
          <w:color w:val="auto"/>
          <w:sz w:val="24"/>
          <w:szCs w:val="24"/>
          <w:lang w:val="zh-CN"/>
        </w:rPr>
        <w:t>东乡族自治县沿岭乡人民政府部门决算</w:t>
      </w:r>
    </w:p>
    <w:p w14:paraId="69E1AA35">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4FD10487">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5B4BADF2">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4932001D">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63693FAF">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6B223F5F">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5A41D28E">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73205E67">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7D4EE61F">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2380FEA8">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41F38FD7">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10D71177">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5022A555">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041740AE">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3B6A5D0B">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58BA8276">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3150A45E">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384E0AF8">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p>
    <w:p w14:paraId="174B392C">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目录</w:t>
      </w:r>
    </w:p>
    <w:p w14:paraId="0D1D4869">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第一部分部门概况</w:t>
      </w:r>
    </w:p>
    <w:p w14:paraId="35EC25D3">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一、部门职责</w:t>
      </w:r>
    </w:p>
    <w:p w14:paraId="49A82101">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二、机构设置</w:t>
      </w:r>
    </w:p>
    <w:p w14:paraId="663D2FC9">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第二部分2023年度部门决算表</w:t>
      </w:r>
    </w:p>
    <w:p w14:paraId="7CB533FB">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11B1899E">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二、收入决算表</w:t>
      </w:r>
    </w:p>
    <w:p w14:paraId="37950B62">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三、支出决算表</w:t>
      </w:r>
    </w:p>
    <w:p w14:paraId="0E2F57A4">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4FE82CF3">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213B9692">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53D1EBF7">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55DBF25D">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1B11DBAE">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0394318F">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第三部分2023年度部门决算情况说明</w:t>
      </w:r>
    </w:p>
    <w:p w14:paraId="51150178">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一、收入支出决算总体情况说明</w:t>
      </w:r>
    </w:p>
    <w:p w14:paraId="3F386DF8">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二、收入决算情况说明</w:t>
      </w:r>
    </w:p>
    <w:p w14:paraId="01286DEA">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三、支出决算情况说明</w:t>
      </w:r>
    </w:p>
    <w:p w14:paraId="6CFA107A">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四、财政拨款收入支出决算总体情况说明</w:t>
      </w:r>
    </w:p>
    <w:p w14:paraId="76FA5457">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五、一般公共预算财政拨款支出决算情况说明</w:t>
      </w:r>
    </w:p>
    <w:p w14:paraId="5151D604">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六、一般公共预算财政拨款基本支出决算情况说明</w:t>
      </w:r>
    </w:p>
    <w:p w14:paraId="5CF6F0C4">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default" w:ascii="宋体" w:hAnsi="宋体"/>
          <w:color w:val="auto"/>
          <w:sz w:val="24"/>
          <w:szCs w:val="24"/>
          <w:lang w:val="en-US" w:eastAsia="zh-CN"/>
        </w:rPr>
      </w:pPr>
      <w:r>
        <w:rPr>
          <w:rFonts w:hint="eastAsia" w:ascii="宋体" w:hAnsi="宋体"/>
          <w:color w:val="auto"/>
          <w:sz w:val="24"/>
          <w:szCs w:val="24"/>
          <w:lang w:val="zh-CN"/>
        </w:rPr>
        <w:t>七、政府性基金预算财政拨款收支决算情况说明</w:t>
      </w:r>
    </w:p>
    <w:p w14:paraId="74D9777B">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八、国有资本经营预算财政拨款支出情况说明</w:t>
      </w:r>
    </w:p>
    <w:p w14:paraId="59A78F75">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en-US" w:eastAsia="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经费支出决算情况说明</w:t>
      </w:r>
    </w:p>
    <w:p w14:paraId="05D29D1E">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default" w:ascii="宋体" w:hAnsi="宋体"/>
          <w:color w:val="auto"/>
          <w:sz w:val="24"/>
          <w:szCs w:val="24"/>
          <w:lang w:val="en-US" w:eastAsia="zh-CN"/>
        </w:rPr>
      </w:pPr>
      <w:r>
        <w:rPr>
          <w:rFonts w:hint="eastAsia" w:ascii="宋体" w:hAnsi="宋体"/>
          <w:color w:val="auto"/>
          <w:sz w:val="24"/>
          <w:szCs w:val="24"/>
          <w:lang w:val="zh-CN"/>
        </w:rPr>
        <w:t>十、机关运行经费支出情况说明</w:t>
      </w:r>
    </w:p>
    <w:p w14:paraId="4ECCC217">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十一、政府采购支出情况说明</w:t>
      </w:r>
    </w:p>
    <w:p w14:paraId="48C96053">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十二、国有资产占用情况说明</w:t>
      </w:r>
    </w:p>
    <w:p w14:paraId="7B18281B">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十三、其他需要说明的情况</w:t>
      </w:r>
    </w:p>
    <w:p w14:paraId="5AF24C1C">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第四部分预算绩效情况说明</w:t>
      </w:r>
    </w:p>
    <w:p w14:paraId="1348E7B2">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第五部分名词解释</w:t>
      </w:r>
    </w:p>
    <w:p w14:paraId="446E4E15">
      <w:pPr>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bCs/>
          <w:color w:val="auto"/>
          <w:sz w:val="24"/>
          <w:szCs w:val="24"/>
          <w:lang w:val="zh-CN"/>
        </w:rPr>
      </w:pPr>
      <w:r>
        <w:rPr>
          <w:rFonts w:hint="eastAsia" w:ascii="宋体" w:hAnsi="宋体"/>
          <w:b/>
          <w:bCs/>
          <w:color w:val="auto"/>
          <w:sz w:val="24"/>
          <w:szCs w:val="24"/>
          <w:lang w:val="zh-CN"/>
        </w:rPr>
        <w:t>第一部分部门概况</w:t>
      </w:r>
    </w:p>
    <w:p w14:paraId="4CE9D07A">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一、部门职责</w:t>
      </w:r>
    </w:p>
    <w:p w14:paraId="19C7A7FB">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eastAsia="zh-CN"/>
        </w:rPr>
      </w:pPr>
      <w:r>
        <w:rPr>
          <w:rFonts w:hint="eastAsia" w:ascii="宋体" w:hAnsi="宋体"/>
          <w:color w:val="auto"/>
          <w:sz w:val="24"/>
          <w:szCs w:val="24"/>
          <w:lang w:val="zh-CN"/>
        </w:rPr>
        <w:t>宣传和贯彻执行党的路线方针政策和法律法规;制定地方经济社会发展规划和年度计划并组织实施;坚持依法行政,推进民主政治,加强基层政权建设做好农业、农村、农民和社区工作,推进乡村振兴。</w:t>
      </w:r>
    </w:p>
    <w:p w14:paraId="69457F1B">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eastAsia="zh-CN"/>
        </w:rPr>
      </w:pPr>
      <w:r>
        <w:rPr>
          <w:rFonts w:hint="eastAsia" w:ascii="宋体" w:hAnsi="宋体"/>
          <w:color w:val="auto"/>
          <w:sz w:val="24"/>
          <w:szCs w:val="24"/>
          <w:lang w:val="zh-CN"/>
        </w:rPr>
        <w:t>落实基层管党治党工作责任制,加强党员队伍的思想建设、组织建设、作风建设、制度建设和党风廉政建设;做好党员管理、发展工作,改善党员队伍结构,提高党员素质;加强党对意识形态和统一战线工作的领导;加强人民武装、民族宗教等工作;指导工会、共青团、妇联等群团工作</w:t>
      </w:r>
      <w:r>
        <w:rPr>
          <w:rFonts w:hint="eastAsia" w:ascii="宋体" w:hAnsi="宋体"/>
          <w:color w:val="auto"/>
          <w:sz w:val="24"/>
          <w:szCs w:val="24"/>
          <w:lang w:val="zh-CN" w:eastAsia="zh-CN"/>
        </w:rPr>
        <w:t>。</w:t>
      </w:r>
    </w:p>
    <w:p w14:paraId="3AD51CC1">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规范经济管理,组织指导经济发展和经济结构调整;加强综合生产能力建设;健全社会化服务体系,完善产业支持保护体系,推进产业现代化;着力提升经济发展的质量和水平,发展壮大村级集体经济,增加村民收入,不断提高人民生活水平。</w:t>
      </w:r>
    </w:p>
    <w:p w14:paraId="2D9EE321">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加强社会管理和基础设施建设,创造良好环境;推进政务、村务公开;抓好卫生健康、人口计划生育工作,保障妇女儿童合法权益; 加强自然资源管理、生态环境保护和修复等工作;保障退役军人合法权益;强化安全生产和公共安全,组织抢险救灾、优抚救助,及时上报和处置重大社情、疫情、险情等,保护人民群众的生命命财产安全。</w:t>
      </w:r>
    </w:p>
    <w:p w14:paraId="12496F4F">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发展公益事业,强化公共服务;加强公共设施建设,开展就业和社会保障服务,着力解决群众生产生活中的问题;发展科教文卫事业,建设健康农村,丰富农民群众文化生活,促进乡风文明;制定公共服务事项目录清单,加强公共服务体系建设。</w:t>
      </w:r>
    </w:p>
    <w:p w14:paraId="0B62A2B1">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加强综合治理,维护社会稳定;强化民主法制宣传教育,畅通诉求渠道、调解民事纠纷、化解社会矛盾,处理群体性突发事件,保证社会公正,维护社会秩序和社会稳定;指导村民自治,推动基层社会建设,促进社会组织健康发展,增强社会自治功能。</w:t>
      </w:r>
    </w:p>
    <w:p w14:paraId="0C1BCE75">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按照管理权限,负责机关和事业单位工作人员的教育、培养、选拔和监督工作; 协助管理好派驻单位人员。</w:t>
      </w:r>
    </w:p>
    <w:p w14:paraId="66EF9CB0">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依法依规承担下放的经济社会管理权限和行政执法事项。</w:t>
      </w:r>
    </w:p>
    <w:p w14:paraId="1D61AAA6">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法律、法规规定和县委、县政府交办的其他事项。</w:t>
      </w:r>
    </w:p>
    <w:p w14:paraId="0F9E4333">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10.职能转变</w:t>
      </w:r>
      <w:r>
        <w:rPr>
          <w:rFonts w:hint="eastAsia" w:ascii="宋体" w:hAnsi="宋体"/>
          <w:color w:val="auto"/>
          <w:sz w:val="24"/>
          <w:szCs w:val="24"/>
          <w:lang w:val="zh-CN" w:eastAsia="zh-CN"/>
        </w:rPr>
        <w:t>：</w:t>
      </w:r>
      <w:r>
        <w:rPr>
          <w:rFonts w:hint="eastAsia" w:ascii="宋体" w:hAnsi="宋体"/>
          <w:color w:val="auto"/>
          <w:sz w:val="24"/>
          <w:szCs w:val="24"/>
          <w:lang w:val="zh-CN"/>
        </w:rPr>
        <w:t>（1）加强基层党的建设。坚持党要管党、全面从严治党,切实加强党的政治建设、思想建设、组织建设、作风建设、纪律建设,把制度建设贯穿其中,深入推进反腐败斗争,推动全面从严治党向基层延伸。(2)强化经济发展职能。正确处理好政府与市场、政府与社会的关系,规范市场秩序,为各类市场主体创造统一一开放、公平竞争的发展环境,激发市场、社会的创造活力。强化产业引导,科学编制发展规划,构建新型农业经营体系。落实强农惠农政策,推进扶贫开发,促进农民持续增收。(3)强化公共服务职能。加快义务教育、学前教育、劳动就业、基本医疗卫生、公共文化体育、卫生健康等社会事业发展,完善社会保险、社会救助、社会福利、优抚安置、扶贫济困。法律服务等社会保障体系。创新公共服务供给方式,优化基本公共服务资源配置,统筹基本公共服务设施的空间布局,实现基本公共服务全覆盖。(4)强化公共管理职能。加强乡村规划建设和生态环境保护,强化城镇和村容村貌管理。健全重大社情、疫情、险情等公共突发事件的预防和应急处理机制。推进平安建设,完善社会治安防控体系。加强信访工作,建立调处化解矛盾纠纷综合机制,确保城市、农村社会和谐稳定。(5)强化公共安全职能。加强安全生产、食品药品、生态建设、农产品质量安全等监督管理,建立健全隐患排查治理体系和安全预防控制体系。推进基层行政执法体系改革，完善执法保障机制，增强执法监管能力。</w:t>
      </w:r>
    </w:p>
    <w:p w14:paraId="69EA5A23">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二、机构设置</w:t>
      </w:r>
    </w:p>
    <w:p w14:paraId="5DB263A5">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eastAsia="zh-CN"/>
        </w:rPr>
      </w:pPr>
      <w:r>
        <w:rPr>
          <w:rFonts w:hint="eastAsia" w:ascii="宋体" w:hAnsi="宋体"/>
          <w:color w:val="auto"/>
          <w:sz w:val="24"/>
          <w:szCs w:val="24"/>
          <w:lang w:val="zh-CN"/>
        </w:rPr>
        <w:t>党政机构： 1.党政综合办公室</w:t>
      </w:r>
      <w:r>
        <w:rPr>
          <w:rFonts w:hint="eastAsia" w:ascii="宋体" w:hAnsi="宋体"/>
          <w:color w:val="auto"/>
          <w:sz w:val="24"/>
          <w:szCs w:val="24"/>
          <w:lang w:val="zh-CN" w:eastAsia="zh-CN"/>
        </w:rPr>
        <w:t>、</w:t>
      </w:r>
      <w:r>
        <w:rPr>
          <w:rFonts w:hint="eastAsia" w:ascii="宋体" w:hAnsi="宋体"/>
          <w:color w:val="auto"/>
          <w:sz w:val="24"/>
          <w:szCs w:val="24"/>
          <w:lang w:val="zh-CN"/>
        </w:rPr>
        <w:t>2.党建工作办公室</w:t>
      </w:r>
      <w:r>
        <w:rPr>
          <w:rFonts w:hint="eastAsia" w:ascii="宋体" w:hAnsi="宋体"/>
          <w:color w:val="auto"/>
          <w:sz w:val="24"/>
          <w:szCs w:val="24"/>
          <w:lang w:val="zh-CN" w:eastAsia="zh-CN"/>
        </w:rPr>
        <w:t>、</w:t>
      </w:r>
      <w:r>
        <w:rPr>
          <w:rFonts w:hint="eastAsia" w:ascii="宋体" w:hAnsi="宋体"/>
          <w:color w:val="auto"/>
          <w:sz w:val="24"/>
          <w:szCs w:val="24"/>
          <w:lang w:val="zh-CN"/>
        </w:rPr>
        <w:t>3.经济发展和社会事务办公室</w:t>
      </w:r>
      <w:r>
        <w:rPr>
          <w:rFonts w:hint="eastAsia" w:ascii="宋体" w:hAnsi="宋体"/>
          <w:color w:val="auto"/>
          <w:sz w:val="24"/>
          <w:szCs w:val="24"/>
          <w:lang w:val="zh-CN" w:eastAsia="zh-CN"/>
        </w:rPr>
        <w:t>、</w:t>
      </w:r>
      <w:r>
        <w:rPr>
          <w:rFonts w:hint="eastAsia" w:ascii="宋体" w:hAnsi="宋体"/>
          <w:color w:val="auto"/>
          <w:sz w:val="24"/>
          <w:szCs w:val="24"/>
          <w:lang w:val="zh-CN"/>
        </w:rPr>
        <w:t>4.社会治理和应急管理办公室</w:t>
      </w:r>
      <w:r>
        <w:rPr>
          <w:rFonts w:hint="eastAsia" w:ascii="宋体" w:hAnsi="宋体"/>
          <w:color w:val="auto"/>
          <w:sz w:val="24"/>
          <w:szCs w:val="24"/>
          <w:lang w:val="zh-CN" w:eastAsia="zh-CN"/>
        </w:rPr>
        <w:t>；</w:t>
      </w:r>
    </w:p>
    <w:p w14:paraId="14A05BDE">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事业单位： 1.农业农村综合服务中心</w:t>
      </w:r>
      <w:r>
        <w:rPr>
          <w:rFonts w:hint="eastAsia" w:ascii="宋体" w:hAnsi="宋体"/>
          <w:color w:val="auto"/>
          <w:sz w:val="24"/>
          <w:szCs w:val="24"/>
          <w:lang w:val="zh-CN" w:eastAsia="zh-CN"/>
        </w:rPr>
        <w:t>、</w:t>
      </w:r>
      <w:r>
        <w:rPr>
          <w:rFonts w:hint="eastAsia" w:ascii="宋体" w:hAnsi="宋体"/>
          <w:color w:val="auto"/>
          <w:sz w:val="24"/>
          <w:szCs w:val="24"/>
          <w:lang w:val="zh-CN"/>
        </w:rPr>
        <w:t>2.公共事务服务中心</w:t>
      </w:r>
      <w:r>
        <w:rPr>
          <w:rFonts w:hint="eastAsia" w:ascii="宋体" w:hAnsi="宋体"/>
          <w:color w:val="auto"/>
          <w:sz w:val="24"/>
          <w:szCs w:val="24"/>
          <w:lang w:val="zh-CN" w:eastAsia="zh-CN"/>
        </w:rPr>
        <w:t>、</w:t>
      </w:r>
      <w:r>
        <w:rPr>
          <w:rFonts w:hint="eastAsia" w:ascii="宋体" w:hAnsi="宋体"/>
          <w:color w:val="auto"/>
          <w:sz w:val="24"/>
          <w:szCs w:val="24"/>
          <w:lang w:val="zh-CN"/>
        </w:rPr>
        <w:t>3.政务（便民）服务中心</w:t>
      </w:r>
      <w:r>
        <w:rPr>
          <w:rFonts w:hint="eastAsia" w:ascii="宋体" w:hAnsi="宋体"/>
          <w:color w:val="auto"/>
          <w:sz w:val="24"/>
          <w:szCs w:val="24"/>
          <w:lang w:val="zh-CN" w:eastAsia="zh-CN"/>
        </w:rPr>
        <w:t>、</w:t>
      </w:r>
      <w:r>
        <w:rPr>
          <w:rFonts w:hint="eastAsia" w:ascii="宋体" w:hAnsi="宋体"/>
          <w:color w:val="auto"/>
          <w:sz w:val="24"/>
          <w:szCs w:val="24"/>
          <w:lang w:val="zh-CN"/>
        </w:rPr>
        <w:t>4.社会治安综合治理中心</w:t>
      </w:r>
      <w:r>
        <w:rPr>
          <w:rFonts w:hint="eastAsia" w:ascii="宋体" w:hAnsi="宋体"/>
          <w:color w:val="auto"/>
          <w:sz w:val="24"/>
          <w:szCs w:val="24"/>
          <w:lang w:val="zh-CN" w:eastAsia="zh-CN"/>
        </w:rPr>
        <w:t>、</w:t>
      </w:r>
      <w:r>
        <w:rPr>
          <w:rFonts w:hint="eastAsia" w:ascii="宋体" w:hAnsi="宋体"/>
          <w:color w:val="auto"/>
          <w:sz w:val="24"/>
          <w:szCs w:val="24"/>
          <w:lang w:val="zh-CN"/>
        </w:rPr>
        <w:t xml:space="preserve"> 5.综合行政执法队</w:t>
      </w:r>
      <w:r>
        <w:rPr>
          <w:rFonts w:hint="eastAsia" w:ascii="宋体" w:hAnsi="宋体"/>
          <w:color w:val="auto"/>
          <w:sz w:val="24"/>
          <w:szCs w:val="24"/>
          <w:lang w:val="zh-CN" w:eastAsia="zh-CN"/>
        </w:rPr>
        <w:t>；</w:t>
      </w:r>
    </w:p>
    <w:p w14:paraId="2F21C05F">
      <w:pPr>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2EEEABE5">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一、收入支出决算总表（见附件）</w:t>
      </w:r>
    </w:p>
    <w:p w14:paraId="5EE60962">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二、收入决算表（见附件）</w:t>
      </w:r>
    </w:p>
    <w:p w14:paraId="083855EB">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三、支出决算表（见附件）</w:t>
      </w:r>
    </w:p>
    <w:p w14:paraId="624E7AA8">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四、财政拨款收入支出决算总表（见附件）</w:t>
      </w:r>
    </w:p>
    <w:p w14:paraId="0F724B49">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五、一般公共预算财政拨款支出决算表（见附件）</w:t>
      </w:r>
    </w:p>
    <w:p w14:paraId="438F6ACD">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六、一般公共预算财政拨款基本支出决算明细表（见附件）</w:t>
      </w:r>
    </w:p>
    <w:p w14:paraId="2C73841C">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七、政府性基金预算财政拨款收入支出决算表（见附件）</w:t>
      </w:r>
    </w:p>
    <w:p w14:paraId="311A9783">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八、国有资本经营预算财政拨款支出决算表（见附件）</w:t>
      </w:r>
    </w:p>
    <w:p w14:paraId="413A3C07">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经费支出决算表（见附件）</w:t>
      </w:r>
    </w:p>
    <w:p w14:paraId="66867BE6">
      <w:pPr>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5BE42668">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524B944A">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961.02万元。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减少12.27万元,下降1.26%,主要原因是</w:t>
      </w:r>
      <w:r>
        <w:rPr>
          <w:rFonts w:hint="eastAsia" w:ascii="宋体" w:hAnsi="宋体"/>
          <w:color w:val="auto"/>
          <w:sz w:val="24"/>
          <w:szCs w:val="24"/>
          <w:lang w:val="en-US" w:eastAsia="zh-CN"/>
        </w:rPr>
        <w:t>2023年无其他收入以及各项财政拨款收入减少。</w:t>
      </w:r>
    </w:p>
    <w:p w14:paraId="0F1F7D73">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7E389D48">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2023年度收入合计885.00万元,其中：财政拨款收入885.00万元,占100.00%；</w:t>
      </w:r>
    </w:p>
    <w:p w14:paraId="7BBBF68C">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00430B49">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2023年度支出合计961.02万元,其中：基本支出708.34万元,占73.71%；项目支出252.68万元,占26.29%；</w:t>
      </w:r>
    </w:p>
    <w:p w14:paraId="013841D5">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4EF34565">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950.64万元。与</w:t>
      </w:r>
      <w:r>
        <w:rPr>
          <w:rFonts w:hint="eastAsia" w:ascii="宋体" w:hAnsi="宋体"/>
          <w:color w:val="auto"/>
          <w:sz w:val="24"/>
          <w:szCs w:val="24"/>
          <w:lang w:val="en-US"/>
        </w:rPr>
        <w:t>上</w:t>
      </w:r>
      <w:r>
        <w:rPr>
          <w:rFonts w:hint="eastAsia" w:ascii="宋体" w:hAnsi="宋体"/>
          <w:color w:val="auto"/>
          <w:sz w:val="24"/>
          <w:szCs w:val="24"/>
          <w:lang w:val="zh-CN"/>
        </w:rPr>
        <w:t>年相比,各增加3.87万元,增长0.41%。一般公共预算财政拨款</w:t>
      </w:r>
      <w:r>
        <w:rPr>
          <w:rFonts w:hint="eastAsia" w:ascii="宋体" w:hAnsi="宋体"/>
          <w:color w:val="auto"/>
          <w:sz w:val="24"/>
          <w:szCs w:val="24"/>
          <w:lang w:val="en-US" w:eastAsia="zh-CN"/>
        </w:rPr>
        <w:t>增加和年初结转较多。</w:t>
      </w:r>
    </w:p>
    <w:p w14:paraId="6C6CA051">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2CC4344A">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2362ACC4">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val="zh-CN"/>
        </w:rPr>
        <w:t>2023年度一般公共预算财政拨款支出950.64万元,较上年决算数增加69.5万元,增长7.89%。主要原因是</w:t>
      </w:r>
      <w:r>
        <w:rPr>
          <w:rFonts w:hint="eastAsia" w:ascii="宋体" w:hAnsi="宋体"/>
          <w:color w:val="auto"/>
          <w:sz w:val="24"/>
          <w:szCs w:val="24"/>
          <w:lang w:val="en-US" w:eastAsia="zh-CN"/>
        </w:rPr>
        <w:t>人员经费增加，以及对村委会及党支部的支出增加</w:t>
      </w:r>
    </w:p>
    <w:p w14:paraId="16ED4D83">
      <w:pPr>
        <w:pageBreakBefore w:val="0"/>
        <w:widowControl/>
        <w:numPr>
          <w:ilvl w:val="0"/>
          <w:numId w:val="1"/>
        </w:numPr>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一般公共预算财政拨款支出决算结构情况</w:t>
      </w:r>
    </w:p>
    <w:p w14:paraId="120886B0">
      <w:pPr>
        <w:pageBreakBefore w:val="0"/>
        <w:widowControl/>
        <w:numPr>
          <w:ilvl w:val="0"/>
          <w:numId w:val="0"/>
        </w:numPr>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w:t>
      </w:r>
      <w:r>
        <w:rPr>
          <w:rFonts w:hint="eastAsia" w:ascii="宋体" w:hAnsi="宋体"/>
          <w:color w:val="auto"/>
          <w:sz w:val="24"/>
          <w:szCs w:val="24"/>
          <w:lang w:val="zh-CN"/>
        </w:rPr>
        <w:t>950.64万元，主要用于以下方面：一般公共服务支出677.76万元,占71.3%；公共安全支出2.00万元,占0.21%；文化旅游体育与传媒支出10.00万元，占1.05%；社会保障和就业支出42.56万元,占4.48%；卫生健康支出26.82万元,占2.82%；农林水支出146.75万元,占15.44%；交通运输支出0.00万元,占0.0%；住房保障支出44.74万元,占4.71%；</w:t>
      </w:r>
    </w:p>
    <w:p w14:paraId="22F4733A">
      <w:pPr>
        <w:pageBreakBefore w:val="0"/>
        <w:widowControl/>
        <w:numPr>
          <w:ilvl w:val="0"/>
          <w:numId w:val="1"/>
        </w:numPr>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一般公共预算财政拨款支出决算具体情况。</w:t>
      </w:r>
    </w:p>
    <w:p w14:paraId="49B67680">
      <w:pPr>
        <w:pageBreakBefore w:val="0"/>
        <w:widowControl/>
        <w:numPr>
          <w:ilvl w:val="0"/>
          <w:numId w:val="0"/>
        </w:numPr>
        <w:kinsoku/>
        <w:wordWrap/>
        <w:overflowPunct/>
        <w:topLinePunct w:val="0"/>
        <w:autoSpaceDE/>
        <w:autoSpaceDN/>
        <w:bidi w:val="0"/>
        <w:adjustRightInd/>
        <w:snapToGrid/>
        <w:spacing w:before="100" w:beforeLines="0" w:after="100" w:afterLines="0"/>
        <w:ind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2023年度一般公共预算财政拨款支出年初预算为</w:t>
      </w:r>
      <w:r>
        <w:rPr>
          <w:rFonts w:hint="eastAsia" w:ascii="宋体" w:hAnsi="宋体"/>
          <w:color w:val="auto"/>
          <w:sz w:val="24"/>
          <w:szCs w:val="24"/>
          <w:lang w:val="zh-CN"/>
        </w:rPr>
        <w:t>824.70万元,支出决算为950.64万元,完成年初预算的115.27%。其中：</w:t>
      </w:r>
    </w:p>
    <w:p w14:paraId="78EA3C0F">
      <w:pPr>
        <w:pageBreakBefore w:val="0"/>
        <w:widowControl/>
        <w:numPr>
          <w:ilvl w:val="0"/>
          <w:numId w:val="0"/>
        </w:numPr>
        <w:kinsoku/>
        <w:wordWrap/>
        <w:overflowPunct/>
        <w:topLinePunct w:val="0"/>
        <w:autoSpaceDE/>
        <w:autoSpaceDN/>
        <w:bidi w:val="0"/>
        <w:adjustRightInd/>
        <w:snapToGrid/>
        <w:spacing w:before="100" w:beforeLines="0" w:after="100" w:afterLines="0" w:line="240" w:lineRule="auto"/>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en-US" w:eastAsia="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年初预算数为547.95万元,支出决算为677.76万元,完成年初预算的123.69%,决算数大于预算数的决算数大于预算数的主要原因是是</w:t>
      </w:r>
      <w:r>
        <w:rPr>
          <w:rFonts w:hint="eastAsia" w:ascii="宋体" w:hAnsi="宋体"/>
          <w:color w:val="auto"/>
          <w:sz w:val="24"/>
          <w:szCs w:val="24"/>
          <w:lang w:val="zh-CN" w:eastAsia="zh-CN"/>
        </w:rPr>
        <w:t>专项费用和人员经费</w:t>
      </w:r>
      <w:r>
        <w:rPr>
          <w:rFonts w:hint="eastAsia" w:ascii="宋体" w:hAnsi="宋体"/>
          <w:color w:val="auto"/>
          <w:sz w:val="24"/>
          <w:szCs w:val="24"/>
          <w:lang w:val="en-US" w:eastAsia="zh-CN"/>
        </w:rPr>
        <w:t>增加，支出相应增加</w:t>
      </w:r>
    </w:p>
    <w:p w14:paraId="4AE8280F">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年初预算数为62.34万元,支出决算为42.56万元,完成年初预算的68.26%,决算数小于预算数的主要原因是</w:t>
      </w:r>
      <w:r>
        <w:rPr>
          <w:rFonts w:hint="eastAsia" w:ascii="宋体" w:hAnsi="宋体"/>
          <w:color w:val="auto"/>
          <w:sz w:val="24"/>
          <w:szCs w:val="24"/>
          <w:lang w:val="en-US" w:eastAsia="zh-CN"/>
        </w:rPr>
        <w:t>部分人员停保以及年末未按时核定养老保险为及时申请缴纳</w:t>
      </w:r>
      <w:r>
        <w:rPr>
          <w:rFonts w:hint="eastAsia" w:ascii="宋体" w:hAnsi="宋体"/>
          <w:color w:val="auto"/>
          <w:sz w:val="24"/>
          <w:szCs w:val="24"/>
          <w:lang w:val="zh-CN"/>
        </w:rPr>
        <w:t>。</w:t>
      </w:r>
    </w:p>
    <w:p w14:paraId="4A2B6DCC">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default" w:ascii="宋体" w:hAnsi="宋体" w:eastAsia="宋体"/>
          <w:color w:val="auto"/>
          <w:sz w:val="24"/>
          <w:szCs w:val="24"/>
          <w:lang w:val="en-US" w:eastAsia="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年初预算数为25.37万元,支出决算为26.82万元,完成年初预算的105.74%,决算数大于预算数的主要原因是</w:t>
      </w:r>
      <w:r>
        <w:rPr>
          <w:rFonts w:hint="eastAsia" w:ascii="宋体" w:hAnsi="宋体"/>
          <w:color w:val="auto"/>
          <w:sz w:val="24"/>
          <w:szCs w:val="24"/>
          <w:lang w:val="en-US" w:eastAsia="zh-CN"/>
        </w:rPr>
        <w:t>医疗保险参保基数增加。</w:t>
      </w:r>
    </w:p>
    <w:p w14:paraId="5EF0E5C6">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年初预算数为143.23万元,支出决算为146.75万元,完成年初预算的102.46%,决算数大于预算数的主要原因是</w:t>
      </w:r>
      <w:r>
        <w:rPr>
          <w:rFonts w:hint="eastAsia" w:ascii="宋体" w:hAnsi="宋体"/>
          <w:color w:val="auto"/>
          <w:sz w:val="24"/>
          <w:szCs w:val="24"/>
          <w:lang w:val="en-US" w:eastAsia="zh-CN"/>
        </w:rPr>
        <w:t>增加对村委会及党支部的支出</w:t>
      </w:r>
      <w:r>
        <w:rPr>
          <w:rFonts w:hint="eastAsia" w:ascii="宋体" w:hAnsi="宋体"/>
          <w:color w:val="auto"/>
          <w:sz w:val="24"/>
          <w:szCs w:val="24"/>
          <w:lang w:val="zh-CN"/>
        </w:rPr>
        <w:t>。</w:t>
      </w:r>
    </w:p>
    <w:p w14:paraId="60E01741">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年初预算数为45.82万元,支出决算为44.74万元,完成年初预算的97.65%,决算数小于预算数的主要原因是</w:t>
      </w:r>
      <w:r>
        <w:rPr>
          <w:rFonts w:hint="eastAsia" w:ascii="宋体" w:hAnsi="宋体"/>
          <w:color w:val="auto"/>
          <w:sz w:val="24"/>
          <w:szCs w:val="24"/>
          <w:lang w:val="en-US" w:eastAsia="zh-CN"/>
        </w:rPr>
        <w:t>人员调动减少</w:t>
      </w:r>
      <w:r>
        <w:rPr>
          <w:rFonts w:hint="eastAsia" w:ascii="宋体" w:hAnsi="宋体"/>
          <w:color w:val="auto"/>
          <w:sz w:val="24"/>
          <w:szCs w:val="24"/>
          <w:lang w:val="zh-CN"/>
        </w:rPr>
        <w:t>。</w:t>
      </w:r>
    </w:p>
    <w:p w14:paraId="0B24AAE6">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0A7A2182">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2023年度一般公共预算财政拨款基本支出697.96万元。其中：</w:t>
      </w:r>
    </w:p>
    <w:p w14:paraId="06CB9358">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565.53万元,较上年决算数减少118.84万元,下降17.36%,主要原因是</w:t>
      </w:r>
      <w:r>
        <w:rPr>
          <w:rFonts w:hint="eastAsia" w:ascii="宋体" w:hAnsi="宋体"/>
          <w:color w:val="auto"/>
          <w:sz w:val="24"/>
          <w:szCs w:val="24"/>
          <w:lang w:val="en-US" w:eastAsia="zh-CN"/>
        </w:rPr>
        <w:t>人员调动减少相应的人员经费减少</w:t>
      </w:r>
      <w:r>
        <w:rPr>
          <w:rFonts w:hint="eastAsia" w:ascii="宋体" w:hAnsi="宋体"/>
          <w:color w:val="auto"/>
          <w:sz w:val="24"/>
          <w:szCs w:val="24"/>
          <w:lang w:val="zh-CN"/>
        </w:rPr>
        <w:t>。人员经费用途主要包括基本工资、津贴补贴、奖金、社会保障缴费，</w:t>
      </w:r>
      <w:r>
        <w:rPr>
          <w:rFonts w:hint="eastAsia" w:ascii="宋体" w:hAnsi="宋体"/>
          <w:color w:val="auto"/>
          <w:sz w:val="24"/>
          <w:szCs w:val="24"/>
          <w:lang w:val="en-US" w:eastAsia="zh-CN"/>
        </w:rPr>
        <w:t>住房公积金以及对个人和家庭的补助</w:t>
      </w:r>
      <w:r>
        <w:rPr>
          <w:rFonts w:hint="eastAsia" w:ascii="宋体" w:hAnsi="宋体"/>
          <w:color w:val="auto"/>
          <w:sz w:val="24"/>
          <w:szCs w:val="24"/>
          <w:lang w:val="zh-CN"/>
        </w:rPr>
        <w:t>。</w:t>
      </w:r>
    </w:p>
    <w:p w14:paraId="37AA838E">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132.42万元,较上年决算数增加79.09万元,增长148.32%,主要原因是</w:t>
      </w:r>
      <w:r>
        <w:rPr>
          <w:rFonts w:hint="eastAsia" w:ascii="宋体" w:hAnsi="宋体"/>
          <w:color w:val="auto"/>
          <w:sz w:val="24"/>
          <w:szCs w:val="24"/>
          <w:lang w:val="en-US" w:eastAsia="zh-CN"/>
        </w:rPr>
        <w:t>增加了各项支出包括办公费、委托业务费、其他交通费用相对增加较多</w:t>
      </w:r>
      <w:r>
        <w:rPr>
          <w:rFonts w:hint="eastAsia" w:ascii="宋体" w:hAnsi="宋体"/>
          <w:color w:val="auto"/>
          <w:sz w:val="24"/>
          <w:szCs w:val="24"/>
          <w:lang w:val="zh-CN"/>
        </w:rPr>
        <w:t>。公用经费用途主要包括办公费、</w:t>
      </w:r>
      <w:r>
        <w:rPr>
          <w:rFonts w:hint="eastAsia" w:ascii="宋体" w:hAnsi="宋体"/>
          <w:color w:val="auto"/>
          <w:sz w:val="24"/>
          <w:szCs w:val="24"/>
          <w:lang w:val="en-US" w:eastAsia="zh-CN"/>
        </w:rPr>
        <w:t>水费、电费、邮电费、取暖费、维修维护费、劳务费、委托业务费、工会经费以及其他交通费用</w:t>
      </w:r>
      <w:r>
        <w:rPr>
          <w:rFonts w:hint="eastAsia" w:ascii="宋体" w:hAnsi="宋体"/>
          <w:color w:val="auto"/>
          <w:sz w:val="24"/>
          <w:szCs w:val="24"/>
          <w:lang w:val="zh-CN"/>
        </w:rPr>
        <w:t>。</w:t>
      </w:r>
    </w:p>
    <w:p w14:paraId="006F37A9">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17D75CC0">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14:paraId="7FDE42D1">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3223C4D1">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14:paraId="17AA04BE">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1A846B9F">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我单位</w:t>
      </w:r>
      <w:r>
        <w:rPr>
          <w:rFonts w:hint="eastAsia" w:ascii="宋体" w:hAnsi="宋体"/>
          <w:color w:val="auto"/>
          <w:sz w:val="24"/>
          <w:szCs w:val="24"/>
          <w:lang w:val="zh-CN"/>
        </w:rPr>
        <w:t>无</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p>
    <w:p w14:paraId="723A7D7A">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64AD804E">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2023年度本部门机关运行经费支出132.42万元,机关运行经费办公费、</w:t>
      </w:r>
      <w:r>
        <w:rPr>
          <w:rFonts w:hint="eastAsia" w:ascii="宋体" w:hAnsi="宋体"/>
          <w:color w:val="auto"/>
          <w:sz w:val="24"/>
          <w:szCs w:val="24"/>
          <w:lang w:val="en-US" w:eastAsia="zh-CN"/>
        </w:rPr>
        <w:t>水费、电费、邮电费、取暖费、维修维护费、劳务费、委托业务费、工会经费以及其他交通费用</w:t>
      </w:r>
      <w:r>
        <w:rPr>
          <w:rFonts w:hint="eastAsia" w:ascii="宋体" w:hAnsi="宋体"/>
          <w:color w:val="auto"/>
          <w:sz w:val="24"/>
          <w:szCs w:val="24"/>
          <w:lang w:val="zh-CN"/>
        </w:rPr>
        <w:t>。机关运行经费较上年决算数增加79.1万元,增长148.32%,主要原因是</w:t>
      </w:r>
      <w:r>
        <w:rPr>
          <w:rFonts w:hint="eastAsia" w:ascii="宋体" w:hAnsi="宋体"/>
          <w:color w:val="auto"/>
          <w:sz w:val="24"/>
          <w:szCs w:val="24"/>
          <w:lang w:val="en-US" w:eastAsia="zh-CN"/>
        </w:rPr>
        <w:t>增加了各项支出包括办公费、委托业务费、其他交通费用相对增加较多</w:t>
      </w:r>
      <w:r>
        <w:rPr>
          <w:rFonts w:hint="eastAsia" w:ascii="宋体" w:hAnsi="宋体"/>
          <w:color w:val="auto"/>
          <w:sz w:val="24"/>
          <w:szCs w:val="24"/>
          <w:lang w:val="zh-CN"/>
        </w:rPr>
        <w:t>。</w:t>
      </w:r>
    </w:p>
    <w:p w14:paraId="5062E816">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780615CB">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14:paraId="589FF80B">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075DA3CD">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截至2023年12月31日,本部门共有车辆5辆,其中,其他用车5辆,其他用车主要是用于</w:t>
      </w:r>
      <w:r>
        <w:rPr>
          <w:rFonts w:hint="eastAsia" w:ascii="宋体" w:hAnsi="宋体"/>
          <w:color w:val="auto"/>
          <w:sz w:val="24"/>
          <w:szCs w:val="24"/>
          <w:lang w:val="en-US" w:eastAsia="zh-CN"/>
        </w:rPr>
        <w:t>清洁以及日常通勤</w:t>
      </w:r>
      <w:r>
        <w:rPr>
          <w:rFonts w:hint="eastAsia" w:ascii="宋体" w:hAnsi="宋体"/>
          <w:color w:val="auto"/>
          <w:sz w:val="24"/>
          <w:szCs w:val="24"/>
          <w:lang w:val="zh-CN"/>
        </w:rPr>
        <w:t>。</w:t>
      </w:r>
    </w:p>
    <w:p w14:paraId="6A04B95C">
      <w:pPr>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4A86A5A3">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bookmarkStart w:id="0" w:name="_GoBack"/>
      <w:bookmarkEnd w:id="0"/>
    </w:p>
    <w:p w14:paraId="7671C9D7">
      <w:pPr>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31DB1711">
      <w:pPr>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本单位未开展预算绩效管理</w:t>
      </w:r>
    </w:p>
    <w:p w14:paraId="083144CF">
      <w:pPr>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497C4CBC">
      <w:pPr>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74CF637E">
      <w:pPr>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71825CF5">
      <w:pPr>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77201B86">
      <w:pPr>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2221A74A">
      <w:pPr>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2799C513">
      <w:pPr>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1585314D">
      <w:pPr>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62A217DE">
      <w:pPr>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620C8AED">
      <w:pPr>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6BF045C7">
      <w:pPr>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0731D350">
      <w:pPr>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19C015D9">
      <w:pPr>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4EEFCD2">
      <w:pPr>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A603980">
      <w:pPr>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仿宋_GB2312" w:hAnsi="仿宋_GB2312" w:eastAsia="仿宋_GB2312" w:cs="仿宋_GB2312"/>
          <w:color w:val="auto"/>
          <w:sz w:val="32"/>
          <w:szCs w:val="32"/>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ZDVmM2U3NjY2YTZlYzNhYjE3YWM3ZWRkYTY0NzMifQ=="/>
  </w:docVars>
  <w:rsids>
    <w:rsidRoot w:val="00000000"/>
    <w:rsid w:val="01C07444"/>
    <w:rsid w:val="1A0F5AD3"/>
    <w:rsid w:val="2E20217D"/>
    <w:rsid w:val="4DDC771A"/>
    <w:rsid w:val="75C04CA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Props1.xml><?xml version="1.0" encoding="utf-8"?>
<ds:datastoreItem xmlns:ds="http://schemas.openxmlformats.org/officeDocument/2006/customXml" ds:itemID="{62937a10-c455-4bf0-a4f3-bfa3b9644a30}">
  <ds:schemaRefs/>
</ds:datastoreItem>
</file>

<file path=customXml/itemProps2.xml><?xml version="1.0" encoding="utf-8"?>
<ds:datastoreItem xmlns:ds="http://schemas.openxmlformats.org/officeDocument/2006/customXml" ds:itemID="{1d65f8c4-fe89-4bd2-b398-3f377e2d4f1f}">
  <ds:schemaRefs/>
</ds:datastoreItem>
</file>

<file path=customXml/itemProps3.xml><?xml version="1.0" encoding="utf-8"?>
<ds:datastoreItem xmlns:ds="http://schemas.openxmlformats.org/officeDocument/2006/customXml" ds:itemID="{72ac0a84-fe26-41ec-98f6-4cb4abcddacb}">
  <ds:schemaRefs/>
</ds:datastoreItem>
</file>

<file path=customXml/itemProps4.xml><?xml version="1.0" encoding="utf-8"?>
<ds:datastoreItem xmlns:ds="http://schemas.openxmlformats.org/officeDocument/2006/customXml" ds:itemID="{ef784e2f-f802-457c-9447-192967fe5a0e}">
  <ds:schemaRefs/>
</ds:datastoreItem>
</file>

<file path=customXml/itemProps5.xml><?xml version="1.0" encoding="utf-8"?>
<ds:datastoreItem xmlns:ds="http://schemas.openxmlformats.org/officeDocument/2006/customXml" ds:itemID="{f148b667-705b-40f8-adda-9a58c50a839b}">
  <ds:schemaRefs/>
</ds:datastoreItem>
</file>

<file path=customXml/itemProps6.xml><?xml version="1.0" encoding="utf-8"?>
<ds:datastoreItem xmlns:ds="http://schemas.openxmlformats.org/officeDocument/2006/customXml" ds:itemID="{764afdec-9441-42a6-956c-5f783fd5517a}">
  <ds:schemaRefs/>
</ds:datastoreItem>
</file>

<file path=customXml/itemProps7.xml><?xml version="1.0" encoding="utf-8"?>
<ds:datastoreItem xmlns:ds="http://schemas.openxmlformats.org/officeDocument/2006/customXml" ds:itemID="{ff0a248b-e53b-4cc7-b904-941eae967ac3}">
  <ds:schemaRefs/>
</ds:datastoreItem>
</file>

<file path=customXml/itemProps8.xml><?xml version="1.0" encoding="utf-8"?>
<ds:datastoreItem xmlns:ds="http://schemas.openxmlformats.org/officeDocument/2006/customXml" ds:itemID="{3963a38a-b43c-4c10-93a5-a6ecf2995922}">
  <ds:schemaRefs/>
</ds:datastoreItem>
</file>

<file path=customXml/itemProps9.xml><?xml version="1.0" encoding="utf-8"?>
<ds:datastoreItem xmlns:ds="http://schemas.openxmlformats.org/officeDocument/2006/customXml" ds:itemID="{50c71b0d-58ee-4058-b8be-33c03a5983b5}">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5255</Words>
  <Characters>5668</Characters>
  <Lines>0</Lines>
  <Paragraphs>0</Paragraphs>
  <TotalTime>12</TotalTime>
  <ScaleCrop>false</ScaleCrop>
  <LinksUpToDate>false</LinksUpToDate>
  <CharactersWithSpaces>5677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2024-09-06T07:12:25Z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E06D266F13EA4024808CEEADBAD91186_11</vt:lpwstr>
  </property>
</Properties>
</file>