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东乡族自治县科学技术协会部门决算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hd w:val="solid" w:color="F9FAFE" w:fill="auto"/>
        <w:autoSpaceDN w:val="0"/>
        <w:spacing w:before="150" w:after="150" w:line="345" w:lineRule="atLeast"/>
        <w:ind w:firstLine="640" w:firstLineChars="200"/>
        <w:rPr>
          <w:rFonts w:ascii="仿宋" w:hAnsi="仿宋" w:eastAsia="仿宋"/>
          <w:b/>
          <w:sz w:val="32"/>
          <w:szCs w:val="32"/>
        </w:rPr>
      </w:pPr>
      <w:r>
        <w:rPr>
          <w:rFonts w:hint="eastAsia" w:ascii="仿宋" w:hAnsi="仿宋" w:eastAsia="仿宋" w:cs="仿宋"/>
          <w:sz w:val="32"/>
          <w:szCs w:val="32"/>
          <w:shd w:val="clear" w:color="auto" w:fill="F9FAFE"/>
        </w:rPr>
        <w:t>（一）传播科学精神和科学思想，普及科学知识和科学方法，反对封建迷信，揭露和抵制各种伪科学、反科学行为。（二）利用科技馆、青少年科技活动中心等科普设施，多形式、多渠道地开展经常性的科普活动，提高青少年科学技术素质。（三）开展城市科普活动，建立街道、社区、企业科普网络，面向城市公众进行科普教育。（四）建立健全并巩固农村科普网络，指导农村成立各种专业技术协会（研究会）、科普协会，组织科技工作者深入农村，普及农业科技知识，推广先进实用技术。组织科技工作者建立农村科技示范基地、园区，促进全省农村产业结构调整和农业产业升级。建立农村科学技术培训站（点），对农民进行科技培训，传授生产技能，提供生产技术指导，培养农村科技人才，推动农业科技进步。（五）采取多种形式为干部群众学习现代科学知识提供服务，帮助他们掌握最新科学技术动态，提高科学决策和科学管理能力。（六）加强少数民族地区和老区、贫困地区的科普工作，组织科技工作者开展科技扶贫，依靠科学技术脱贫致富；建立少数民族科普工作队，帮助少数民族地区引进科技人才，提供科技资金、器材和先进实用技术以及信息等方面的支持。</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numPr>
          <w:ilvl w:val="0"/>
          <w:numId w:val="1"/>
        </w:numPr>
        <w:ind w:firstLine="480" w:firstLineChars="150"/>
        <w:rPr>
          <w:rFonts w:hint="eastAsia" w:ascii="宋体" w:hAnsi="宋体"/>
          <w:b/>
          <w:color w:val="auto"/>
          <w:sz w:val="24"/>
          <w:szCs w:val="24"/>
          <w:lang w:val="zh-CN"/>
        </w:rPr>
      </w:pPr>
      <w:r>
        <w:rPr>
          <w:rFonts w:hint="eastAsia" w:ascii="仿宋" w:hAnsi="仿宋" w:eastAsia="仿宋" w:cs="仿宋"/>
          <w:sz w:val="32"/>
          <w:szCs w:val="32"/>
        </w:rPr>
        <w:t>办公室（二）组宣部（三）学会部（四）青少部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3"/>
        <w:tblW w:w="14070" w:type="dxa"/>
        <w:tblInd w:w="0" w:type="dxa"/>
        <w:shd w:val="clear" w:color="auto" w:fill="auto"/>
        <w:tblLayout w:type="fixed"/>
        <w:tblCellMar>
          <w:top w:w="0" w:type="dxa"/>
          <w:left w:w="0" w:type="dxa"/>
          <w:bottom w:w="0" w:type="dxa"/>
          <w:right w:w="0" w:type="dxa"/>
        </w:tblCellMar>
      </w:tblPr>
      <w:tblGrid>
        <w:gridCol w:w="4651"/>
        <w:gridCol w:w="616"/>
        <w:gridCol w:w="1768"/>
        <w:gridCol w:w="3631"/>
        <w:gridCol w:w="513"/>
        <w:gridCol w:w="2891"/>
      </w:tblGrid>
      <w:tr>
        <w:tblPrEx>
          <w:tblCellMar>
            <w:top w:w="0" w:type="dxa"/>
            <w:left w:w="0" w:type="dxa"/>
            <w:bottom w:w="0" w:type="dxa"/>
            <w:right w:w="0" w:type="dxa"/>
          </w:tblCellMar>
        </w:tblPrEx>
        <w:trPr>
          <w:trHeight w:val="300" w:hRule="atLeast"/>
        </w:trPr>
        <w:tc>
          <w:tcPr>
            <w:tcW w:w="703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035"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76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89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6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9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2,636,808.60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17,367.00</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2,060,108.64</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633,234.66</w:t>
            </w: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89,452.80</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66,000.00</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164,719.00</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2,636,808.60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3,030,882.10</w:t>
            </w:r>
          </w:p>
        </w:tc>
      </w:tr>
      <w:tr>
        <w:tblPrEx>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394,073.50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65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76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3,030,882.10</w:t>
            </w:r>
          </w:p>
        </w:tc>
        <w:tc>
          <w:tcPr>
            <w:tcW w:w="3631"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13"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2891"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3,030,882.10</w:t>
            </w:r>
          </w:p>
        </w:tc>
      </w:tr>
    </w:tbl>
    <w:p>
      <w:pPr>
        <w:pStyle w:val="2"/>
        <w:numPr>
          <w:ilvl w:val="0"/>
          <w:numId w:val="0"/>
        </w:numPr>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9"/>
        <w:gridCol w:w="4176"/>
        <w:gridCol w:w="1790"/>
        <w:gridCol w:w="1790"/>
        <w:gridCol w:w="1755"/>
        <w:gridCol w:w="1755"/>
        <w:gridCol w:w="1755"/>
        <w:gridCol w:w="17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2,636,808.60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2,636,808.60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212,474.16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212,474.16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2,060,108.64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2,060,108.64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pStyle w:val="2"/>
        <w:numPr>
          <w:numId w:val="0"/>
        </w:numPr>
        <w:ind w:leftChars="0"/>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4176"/>
        <w:gridCol w:w="1788"/>
        <w:gridCol w:w="1788"/>
        <w:gridCol w:w="1772"/>
        <w:gridCol w:w="1735"/>
        <w:gridCol w:w="1735"/>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3,030,882.10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2,949,082.10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81,800.00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606,547.66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606,547.66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2,060,108.64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2,056,308.64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pStyle w:val="2"/>
        <w:numPr>
          <w:numId w:val="0"/>
        </w:numPr>
        <w:ind w:leftChars="0"/>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W w:w="1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6"/>
        <w:gridCol w:w="544"/>
        <w:gridCol w:w="1680"/>
        <w:gridCol w:w="4221"/>
        <w:gridCol w:w="592"/>
        <w:gridCol w:w="1807"/>
        <w:gridCol w:w="1891"/>
        <w:gridCol w:w="1245"/>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2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11070"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66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2,636,808.60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2,060,108.64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2,060,108.64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443,196.69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443,196.69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2,636,808.60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2,840,844.13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2,840,844.13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204,035.53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204,035.53</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2,840,844.13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2,840,844.13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2,840,844.13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pStyle w:val="2"/>
        <w:numPr>
          <w:numId w:val="0"/>
        </w:numPr>
        <w:ind w:leftChars="0"/>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4176"/>
        <w:gridCol w:w="2179"/>
        <w:gridCol w:w="2179"/>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5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2,840,844.13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2,759,044.13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416,509.69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416,509.69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2060701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机构运行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2,060,108.64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2,056,308.64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w:t>
            </w:r>
          </w:p>
        </w:tc>
      </w:tr>
    </w:tbl>
    <w:p>
      <w:pPr>
        <w:pStyle w:val="2"/>
        <w:numPr>
          <w:numId w:val="0"/>
        </w:numPr>
        <w:ind w:leftChars="0"/>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3525"/>
        <w:gridCol w:w="1769"/>
        <w:gridCol w:w="766"/>
        <w:gridCol w:w="2775"/>
        <w:gridCol w:w="1796"/>
        <w:gridCol w:w="766"/>
        <w:gridCol w:w="4515"/>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06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12360"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5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7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51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2,486,073.99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259,720.14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872,550.84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56,038.70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773,905.03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13,220.00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167,499.63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416,509.69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5,745.00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89,452.80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1,437.00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27,100.00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164,719.00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17,367.00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1,499.44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138,750.00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2,499,323.99</w:t>
            </w:r>
          </w:p>
        </w:tc>
        <w:tc>
          <w:tcPr>
            <w:tcW w:w="0" w:type="auto"/>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259,720.14</w:t>
            </w:r>
          </w:p>
        </w:tc>
      </w:tr>
    </w:tbl>
    <w:p>
      <w:pPr>
        <w:pStyle w:val="2"/>
        <w:numPr>
          <w:numId w:val="0"/>
        </w:numPr>
        <w:ind w:leftChars="0"/>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pStyle w:val="2"/>
        <w:rPr>
          <w:rFonts w:hint="eastAsia"/>
          <w:lang w:val="zh-CN"/>
        </w:rPr>
      </w:pPr>
      <w:r>
        <w:rPr>
          <w:rFonts w:hint="eastAsia" w:ascii="宋体" w:hAnsi="宋体"/>
          <w:color w:val="FF0000"/>
          <w:sz w:val="24"/>
          <w:szCs w:val="24"/>
          <w:lang w:val="zh-CN"/>
        </w:rPr>
        <w:t>本部门没有相关数据,故本表无数据</w:t>
      </w: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pPr>
        <w:pStyle w:val="2"/>
        <w:rPr>
          <w:rFonts w:hint="eastAsia"/>
          <w:lang w:val="zh-CN"/>
        </w:rPr>
      </w:pPr>
      <w:r>
        <w:rPr>
          <w:rFonts w:hint="eastAsia" w:ascii="宋体" w:hAnsi="宋体"/>
          <w:color w:val="FF0000"/>
          <w:sz w:val="24"/>
          <w:szCs w:val="24"/>
          <w:lang w:val="zh-CN"/>
        </w:rPr>
        <w:t>本部门没有相关数据,故本表无数据</w:t>
      </w:r>
    </w:p>
    <w:p>
      <w:pPr>
        <w:pStyle w:val="2"/>
        <w:numPr>
          <w:numId w:val="0"/>
        </w:numPr>
        <w:ind w:leftChars="0"/>
        <w:rPr>
          <w:rFonts w:hint="eastAsia"/>
          <w:lang w:val="zh-CN"/>
        </w:rPr>
      </w:pPr>
    </w:p>
    <w:p>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1410"/>
        <w:gridCol w:w="1410"/>
        <w:gridCol w:w="1410"/>
        <w:gridCol w:w="1410"/>
        <w:gridCol w:w="1410"/>
        <w:gridCol w:w="1410"/>
        <w:gridCol w:w="1410"/>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6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846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1,499.44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1,499.44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1,499.44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bl>
    <w:p>
      <w:pPr>
        <w:pStyle w:val="2"/>
        <w:numPr>
          <w:numId w:val="0"/>
        </w:numPr>
        <w:ind w:leftChars="0"/>
        <w:rPr>
          <w:rFonts w:hint="eastAsia"/>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303.09万元。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减少24.17万元,下降7.39%,</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人员退休。</w:t>
      </w:r>
      <w:r>
        <w:rPr>
          <w:rFonts w:hint="eastAsia" w:ascii="宋体" w:hAnsi="宋体"/>
          <w:color w:val="FF0000"/>
          <w:sz w:val="24"/>
          <w:szCs w:val="24"/>
          <w:lang w:val="zh-CN"/>
        </w:rPr>
        <w:t>(由部门根据实际情况补充)。(本部分的收入总计包括收入合计、使用非财政拨款结余（含专用结余）、年初结转和结余,支出总计包括本年支出合计、结余分配、年末结转和结余。)</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2023年度收入合计263.68万元,其中：财政拨款收入263.68万元,占100.00%；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(该段内容中若某一项收入为零,将其删除,不用表述。)</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2023年度支出合计303.09万元,其中：基本支出294.91万元,占97.30%；项目支出8.18万元,占2.70%；上缴上级支出0.00万元,占0.00%；经营支出0.00万元,占0.00%；对附属单位补助支出0.00万元,占0.00%。</w:t>
      </w:r>
      <w:r>
        <w:rPr>
          <w:rFonts w:hint="eastAsia" w:ascii="宋体" w:hAnsi="宋体"/>
          <w:color w:val="FF0000"/>
          <w:sz w:val="24"/>
          <w:szCs w:val="24"/>
          <w:lang w:val="zh-CN"/>
        </w:rPr>
        <w:t>(该段内容中若某一项支出为零,将其删除,不用表述。)</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284.08万元。与</w:t>
      </w:r>
      <w:r>
        <w:rPr>
          <w:rFonts w:hint="eastAsia" w:ascii="宋体" w:hAnsi="宋体"/>
          <w:color w:val="auto"/>
          <w:sz w:val="24"/>
          <w:szCs w:val="24"/>
          <w:lang w:val="en-US"/>
        </w:rPr>
        <w:t>上</w:t>
      </w:r>
      <w:r>
        <w:rPr>
          <w:rFonts w:hint="eastAsia" w:ascii="宋体" w:hAnsi="宋体"/>
          <w:color w:val="auto"/>
          <w:sz w:val="24"/>
          <w:szCs w:val="24"/>
          <w:lang w:val="zh-CN"/>
        </w:rPr>
        <w:t>年相比,各减少21.31万元,下降6.98%。</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人员退休</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pageBreakBefore w:val="0"/>
        <w:kinsoku/>
        <w:wordWrap/>
        <w:overflowPunct/>
        <w:topLinePunct w:val="0"/>
        <w:autoSpaceDE/>
        <w:autoSpaceDN/>
        <w:bidi w:val="0"/>
        <w:adjustRightInd/>
        <w:snapToGrid/>
        <w:spacing w:before="100" w:beforeLines="0" w:after="100" w:afterLines="0" w:line="240" w:lineRule="auto"/>
        <w:ind w:firstLine="480" w:firstLineChars="200"/>
        <w:jc w:val="left"/>
        <w:textAlignment w:val="auto"/>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2023年度一般公共预算财政拨款支出284.08万元,较上年决算数减少0.91万元,下降0.32%。</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人员减少，养老、医疗减少</w:t>
      </w:r>
      <w:r>
        <w:rPr>
          <w:rFonts w:hint="eastAsia" w:ascii="宋体" w:hAnsi="宋体"/>
          <w:color w:val="FF0000"/>
          <w:sz w:val="24"/>
          <w:szCs w:val="24"/>
          <w:lang w:val="zh-CN" w:eastAsia="zh-CN"/>
        </w:rPr>
        <w:t>。</w:t>
      </w:r>
    </w:p>
    <w:p>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284.08万元，主要用于以下方面：一般公共服务支出1.74万元,占0.61%；科学技术支出206.01万元，占72.52%；社会保障和就业支出44.32万元,占15.6%；卫生健康支出8.95万元,占3.15%；农林水支出6.60万元,占2.32%；住房保障支出16.47万元,占5.8%；</w:t>
      </w:r>
    </w:p>
    <w:p>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280.86万元,支出决算为284.08万元,完成年初预算的101.15%。其中：</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年初预算数为3.08万元,支出决算为1.74万元,完成年初预算的56.39%,决算数小于预算数的</w:t>
      </w:r>
      <w:r>
        <w:rPr>
          <w:rFonts w:hint="eastAsia" w:ascii="宋体" w:hAnsi="宋体"/>
          <w:color w:val="FF0000"/>
          <w:sz w:val="24"/>
          <w:szCs w:val="24"/>
          <w:lang w:val="zh-CN"/>
        </w:rPr>
        <w:t>主要原因是社会保障和就业支出</w:t>
      </w:r>
      <w:r>
        <w:rPr>
          <w:rFonts w:hint="eastAsia" w:ascii="宋体" w:hAnsi="宋体"/>
          <w:color w:val="FF0000"/>
          <w:sz w:val="24"/>
          <w:szCs w:val="24"/>
          <w:lang w:val="en-US" w:eastAsia="zh-CN"/>
        </w:rPr>
        <w:t>减少。</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年初预算数为218.27万元,支出决算为206.01万元,完成年初预算的94.38%,决算数小于预算数的</w:t>
      </w:r>
      <w:r>
        <w:rPr>
          <w:rFonts w:hint="eastAsia" w:ascii="宋体" w:hAnsi="宋体"/>
          <w:color w:val="FF0000"/>
          <w:sz w:val="24"/>
          <w:szCs w:val="24"/>
          <w:lang w:val="zh-CN"/>
        </w:rPr>
        <w:t>主要原因是科</w:t>
      </w:r>
      <w:r>
        <w:rPr>
          <w:rFonts w:hint="eastAsia" w:ascii="宋体" w:hAnsi="宋体"/>
          <w:color w:val="FF0000"/>
          <w:sz w:val="24"/>
          <w:szCs w:val="24"/>
          <w:lang w:val="zh-CN"/>
        </w:rPr>
        <w:t>学技术支出</w:t>
      </w:r>
      <w:r>
        <w:rPr>
          <w:rFonts w:hint="eastAsia" w:ascii="宋体" w:hAnsi="宋体"/>
          <w:color w:val="FF0000"/>
          <w:sz w:val="24"/>
          <w:szCs w:val="24"/>
          <w:lang w:val="en-US" w:eastAsia="zh-CN"/>
        </w:rPr>
        <w:t>减少了</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en-US" w:eastAsia="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年初预算数为30.30万元,支出决算为44.32万元,完成年初预算的146.28%,决算数大于预算数的</w:t>
      </w:r>
      <w:r>
        <w:rPr>
          <w:rFonts w:hint="eastAsia" w:ascii="宋体" w:hAnsi="宋体"/>
          <w:color w:val="FF0000"/>
          <w:sz w:val="24"/>
          <w:szCs w:val="24"/>
          <w:lang w:val="zh-CN"/>
        </w:rPr>
        <w:t>主要原因是社会保障和就业支出</w:t>
      </w:r>
      <w:r>
        <w:rPr>
          <w:rFonts w:hint="eastAsia" w:ascii="宋体" w:hAnsi="宋体"/>
          <w:color w:val="FF0000"/>
          <w:sz w:val="24"/>
          <w:szCs w:val="24"/>
          <w:lang w:val="en-US" w:eastAsia="zh-CN"/>
        </w:rPr>
        <w:t>减少了。</w:t>
      </w:r>
    </w:p>
    <w:p>
      <w:pPr>
        <w:spacing w:before="100" w:beforeLines="0" w:after="100" w:afterLines="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年初预算数为10.46万元,支出决算为8.95万元,完成年初预算的85.51%,决算数小于预算数的</w:t>
      </w:r>
      <w:r>
        <w:rPr>
          <w:rFonts w:hint="eastAsia" w:ascii="宋体" w:hAnsi="宋体"/>
          <w:color w:val="FF0000"/>
          <w:sz w:val="24"/>
          <w:szCs w:val="24"/>
          <w:lang w:val="zh-CN"/>
        </w:rPr>
        <w:t>主要原因是卫生健康支出</w:t>
      </w:r>
      <w:r>
        <w:rPr>
          <w:rFonts w:hint="eastAsia" w:ascii="宋体" w:hAnsi="宋体"/>
          <w:color w:val="FF0000"/>
          <w:sz w:val="24"/>
          <w:szCs w:val="24"/>
          <w:lang w:val="en-US" w:eastAsia="zh-CN"/>
        </w:rPr>
        <w:t>减少了。</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年初预算数为18.76万元,支出决算为16.47万元,完成年初预算的87.82%,决算数小于预算数的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退休人员增加，</w:t>
      </w:r>
      <w:r>
        <w:rPr>
          <w:rFonts w:hint="eastAsia" w:ascii="宋体" w:hAnsi="宋体"/>
          <w:color w:val="FF0000"/>
          <w:sz w:val="24"/>
          <w:szCs w:val="24"/>
          <w:lang w:val="zh-CN"/>
        </w:rPr>
        <w:t>住房保障支出</w:t>
      </w:r>
      <w:r>
        <w:rPr>
          <w:rFonts w:hint="eastAsia" w:ascii="宋体" w:hAnsi="宋体"/>
          <w:color w:val="FF0000"/>
          <w:sz w:val="24"/>
          <w:szCs w:val="24"/>
          <w:lang w:val="en-US" w:eastAsia="zh-CN"/>
        </w:rPr>
        <w:t>减少了。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2023年度一般公共预算财政拨款基本支出275.90万元。其中：</w:t>
      </w:r>
    </w:p>
    <w:p>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249.93万元,较上年决算数减少24.63万元,下降8.97%,</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退休人员增加</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  基本工资、津贴补贴、 奖金、 机关事业单位基本养老保险缴费、职工基本医疗保险缴费、其他社会保障缴费、 住房公积金、对个人和家庭的补助、退休费。</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25.97万元,较上年决算数增加15.55万元,增长149.14%,</w:t>
      </w:r>
      <w:r>
        <w:rPr>
          <w:rFonts w:hint="eastAsia" w:ascii="宋体" w:hAnsi="宋体"/>
          <w:color w:val="FF0000"/>
          <w:sz w:val="24"/>
          <w:szCs w:val="24"/>
          <w:lang w:val="zh-CN"/>
        </w:rPr>
        <w:t>主要原因是商品和服务支出</w:t>
      </w:r>
      <w:r>
        <w:rPr>
          <w:rFonts w:hint="eastAsia" w:ascii="宋体" w:hAnsi="宋体"/>
          <w:color w:val="FF0000"/>
          <w:sz w:val="24"/>
          <w:szCs w:val="24"/>
          <w:lang w:val="en-US" w:eastAsia="zh-CN"/>
        </w:rPr>
        <w:t>增加了。</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主要包括商品和服务支出、办公费、 印刷费、电费、差旅费、 工会经费、 公务用车运行维护费、 其他交通费用。</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预算数为0.15万元,支出决算为0.15万元,决算数</w:t>
      </w:r>
      <w:r>
        <w:rPr>
          <w:rFonts w:hint="eastAsia" w:ascii="宋体" w:hAnsi="宋体"/>
          <w:color w:val="auto"/>
          <w:sz w:val="24"/>
          <w:szCs w:val="24"/>
          <w:lang w:val="en-US" w:eastAsia="zh-CN"/>
        </w:rPr>
        <w:t>等于</w:t>
      </w:r>
      <w:r>
        <w:rPr>
          <w:rFonts w:hint="eastAsia" w:ascii="宋体" w:hAnsi="宋体"/>
          <w:color w:val="auto"/>
          <w:sz w:val="24"/>
          <w:szCs w:val="24"/>
          <w:lang w:val="zh-CN"/>
        </w:rPr>
        <w:t>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购买科普大篷车保险费，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增加0.05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增长49.94</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科普大篷车保险费增加</w:t>
      </w:r>
      <w:r>
        <w:rPr>
          <w:rFonts w:hint="eastAsia" w:ascii="宋体" w:hAnsi="宋体"/>
          <w:color w:val="FF0000"/>
          <w:sz w:val="24"/>
          <w:szCs w:val="24"/>
          <w:lang w:val="zh-CN"/>
        </w:rPr>
        <w:t>。</w:t>
      </w:r>
    </w:p>
    <w:p>
      <w:pPr>
        <w:numPr>
          <w:ilvl w:val="0"/>
          <w:numId w:val="4"/>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预算数为0.15万元,支出决算为0.15万元,决算数小于预算数的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购买科普大篷车保险费</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增加0.05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增长49.94</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购买科普大篷车保险费</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预算数为0.15万元,</w:t>
      </w:r>
      <w:r>
        <w:rPr>
          <w:rFonts w:hint="eastAsia" w:ascii="宋体" w:hAnsi="宋体"/>
          <w:color w:val="FF0000"/>
          <w:sz w:val="24"/>
          <w:szCs w:val="24"/>
          <w:lang w:val="en-US" w:eastAsia="zh-CN"/>
        </w:rPr>
        <w:t>购买科普大篷车保险费</w:t>
      </w:r>
      <w:r>
        <w:rPr>
          <w:rFonts w:hint="eastAsia" w:ascii="宋体" w:hAnsi="宋体"/>
          <w:color w:val="auto"/>
          <w:sz w:val="24"/>
          <w:szCs w:val="24"/>
          <w:lang w:val="zh-CN"/>
        </w:rPr>
        <w:t>支出决算为0.15万元,决算数小于预算数的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购买科普大篷车保险费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增加0.05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增长49.94</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en-US" w:eastAsia="zh-CN"/>
        </w:rPr>
        <w:t>购买科普大篷车保险费</w:t>
      </w:r>
      <w:r>
        <w:rPr>
          <w:rFonts w:hint="eastAsia" w:ascii="宋体" w:hAnsi="宋体"/>
          <w:color w:val="FF0000"/>
          <w:sz w:val="24"/>
          <w:szCs w:val="24"/>
          <w:lang w:val="zh-CN"/>
        </w:rPr>
        <w:t>。</w:t>
      </w:r>
    </w:p>
    <w:p>
      <w:pPr>
        <w:numPr>
          <w:ilvl w:val="0"/>
          <w:numId w:val="5"/>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(部分单位无机关运行经费支出的,说明如下类似内容：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我单位2023年度无机关运行相关经费。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2023年度本部门机关运行经费支出25.97万元,机关运行经费</w:t>
      </w:r>
      <w:r>
        <w:rPr>
          <w:rFonts w:hint="eastAsia" w:ascii="宋体" w:hAnsi="宋体"/>
          <w:color w:val="FF0000"/>
          <w:sz w:val="24"/>
          <w:szCs w:val="24"/>
          <w:lang w:val="zh-CN"/>
        </w:rPr>
        <w:t>主要用于开支商品和服务支出、办公费、印刷费、电费、差旅费、工会经费公务用车运行维护费、 其他交通费用。</w:t>
      </w:r>
      <w:r>
        <w:rPr>
          <w:rFonts w:hint="eastAsia" w:ascii="宋体" w:hAnsi="宋体"/>
          <w:color w:val="auto"/>
          <w:sz w:val="24"/>
          <w:szCs w:val="24"/>
          <w:lang w:val="zh-CN"/>
        </w:rPr>
        <w:t>机关运行经费较上年决算数增加15.55万元,增长149.23%,</w:t>
      </w:r>
      <w:r>
        <w:rPr>
          <w:rFonts w:hint="eastAsia" w:ascii="宋体" w:hAnsi="宋体"/>
          <w:color w:val="FF0000"/>
          <w:sz w:val="24"/>
          <w:szCs w:val="24"/>
          <w:lang w:val="zh-CN"/>
        </w:rPr>
        <w:t>主要原因是商品和服务支出</w:t>
      </w:r>
      <w:r>
        <w:rPr>
          <w:rFonts w:hint="eastAsia" w:ascii="宋体" w:hAnsi="宋体"/>
          <w:color w:val="FF0000"/>
          <w:sz w:val="24"/>
          <w:szCs w:val="24"/>
          <w:lang w:val="en-US" w:eastAsia="zh-CN"/>
        </w:rPr>
        <w:t>增加了。</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本年度培训费支出0.00万元,较上年决算数减少0.0万元,下降%,</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(部分单位无政府采购支出的,说明如下类似内容：</w:t>
      </w:r>
      <w:r>
        <w:rPr>
          <w:rFonts w:hint="default" w:ascii="宋体" w:hAnsi="宋体"/>
          <w:color w:val="FF0000"/>
          <w:sz w:val="24"/>
          <w:szCs w:val="24"/>
          <w:lang w:val="zh-CN"/>
        </w:rPr>
        <w:t>“</w:t>
      </w:r>
      <w:r>
        <w:rPr>
          <w:rFonts w:hint="eastAsia" w:ascii="宋体" w:hAnsi="宋体"/>
          <w:color w:val="FF0000"/>
          <w:sz w:val="24"/>
          <w:szCs w:val="24"/>
          <w:lang w:val="zh-CN"/>
        </w:rPr>
        <w:t>我单位2023年度无政府采购相关经费。</w:t>
      </w:r>
      <w:r>
        <w:rPr>
          <w:rFonts w:hint="default" w:ascii="宋体" w:hAnsi="宋体"/>
          <w:color w:val="FF0000"/>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1.16万元,其中：政府采购货物支出1.16万元、政府采购工程支出0.00万元、政府采购服务支出0.00万元。授予中小企业合同金额1.16万元,占政府采购支出总额的100.00%,其中：授予小微企业合同金额1.16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0辆、应急保障用车0辆、执法执勤用车0辆,特种专业技术用车1辆,离退休干部用车0辆,其他用车0辆,其他用车</w:t>
      </w:r>
      <w:r>
        <w:rPr>
          <w:rFonts w:hint="eastAsia" w:ascii="宋体" w:hAnsi="宋体"/>
          <w:color w:val="FF0000"/>
          <w:sz w:val="24"/>
          <w:szCs w:val="24"/>
          <w:lang w:val="zh-CN"/>
        </w:rPr>
        <w:t>主要是用于</w:t>
      </w:r>
      <w:r>
        <w:rPr>
          <w:rFonts w:hint="eastAsia" w:ascii="宋体" w:hAnsi="宋体"/>
          <w:color w:val="FF0000"/>
          <w:sz w:val="24"/>
          <w:szCs w:val="24"/>
          <w:lang w:val="en-US" w:eastAsia="zh-CN"/>
        </w:rPr>
        <w:t>开展科普宣传活动</w:t>
      </w:r>
      <w:r>
        <w:rPr>
          <w:rFonts w:hint="eastAsia" w:ascii="宋体" w:hAnsi="宋体"/>
          <w:color w:val="FF0000"/>
          <w:sz w:val="24"/>
          <w:szCs w:val="24"/>
          <w:lang w:val="zh-CN"/>
        </w:rPr>
        <w:t>。</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center"/>
        <w:rPr>
          <w:rFonts w:hint="eastAsia" w:ascii="宋体" w:hAnsi="宋体"/>
          <w:color w:val="FF0000"/>
          <w:sz w:val="24"/>
          <w:szCs w:val="24"/>
          <w:lang w:val="zh-CN"/>
        </w:rPr>
      </w:pPr>
      <w:r>
        <w:rPr>
          <w:rFonts w:hint="eastAsia" w:ascii="宋体" w:hAnsi="宋体"/>
          <w:color w:val="FF0000"/>
          <w:sz w:val="24"/>
          <w:szCs w:val="24"/>
          <w:lang w:val="zh-CN"/>
        </w:rPr>
        <w:t>本单位未开展预算绩效管理</w:t>
      </w:r>
      <w:bookmarkStart w:id="0" w:name="_GoBack"/>
      <w:bookmarkEnd w:id="0"/>
    </w:p>
    <w:p>
      <w:pPr>
        <w:numPr>
          <w:ilvl w:val="0"/>
          <w:numId w:val="6"/>
        </w:num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pStyle w:val="2"/>
        <w:numPr>
          <w:ilvl w:val="0"/>
          <w:numId w:val="6"/>
        </w:numPr>
        <w:rPr>
          <w:rFonts w:hint="eastAsia"/>
          <w:lang w:val="zh-CN" w:eastAsia="zh-CN"/>
        </w:rPr>
      </w:pP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99969"/>
    <w:multiLevelType w:val="singleLevel"/>
    <w:tmpl w:val="84099969"/>
    <w:lvl w:ilvl="0" w:tentative="0">
      <w:start w:val="1"/>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084C4163"/>
    <w:multiLevelType w:val="singleLevel"/>
    <w:tmpl w:val="084C4163"/>
    <w:lvl w:ilvl="0" w:tentative="0">
      <w:start w:val="5"/>
      <w:numFmt w:val="chineseCounting"/>
      <w:suff w:val="space"/>
      <w:lvlText w:val="第%1部分"/>
      <w:lvlJc w:val="left"/>
      <w:rPr>
        <w:rFonts w:hint="eastAsia"/>
      </w:r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5">
    <w:nsid w:val="5B95E2AB"/>
    <w:multiLevelType w:val="singleLevel"/>
    <w:tmpl w:val="5B95E2AB"/>
    <w:lvl w:ilvl="0" w:tentative="0">
      <w:start w:val="1"/>
      <w:numFmt w:val="chineseCounting"/>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TdkYmU0NTE5NGE3MDQ4ZDZmNDYwZGFkMjdiMTQifQ=="/>
  </w:docVars>
  <w:rsids>
    <w:rsidRoot w:val="00000000"/>
    <w:rsid w:val="337E32CD"/>
    <w:rsid w:val="43007687"/>
    <w:rsid w:val="529C269F"/>
    <w:rsid w:val="770E325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rPr>
      <w:rFonts w:ascii="Calibri"/>
      <w:szCs w:val="21"/>
    </w:rPr>
  </w:style>
  <w:style w:type="table" w:styleId="4">
    <w:name w:val="Table Grid"/>
    <w:autoRedefine/>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ce1e7a6f-962b-4ae0-959d-624fa501b1ec}">
  <ds:schemaRefs/>
</ds:datastoreItem>
</file>

<file path=customXml/itemProps2.xml><?xml version="1.0" encoding="utf-8"?>
<ds:datastoreItem xmlns:ds="http://schemas.openxmlformats.org/officeDocument/2006/customXml" ds:itemID="{a1c058bc-bb0f-4d89-894a-9a784aa2dd21}">
  <ds:schemaRefs/>
</ds:datastoreItem>
</file>

<file path=customXml/itemProps3.xml><?xml version="1.0" encoding="utf-8"?>
<ds:datastoreItem xmlns:ds="http://schemas.openxmlformats.org/officeDocument/2006/customXml" ds:itemID="{d6ae8477-a042-40d3-b62e-36680bb08250}">
  <ds:schemaRefs/>
</ds:datastoreItem>
</file>

<file path=customXml/itemProps4.xml><?xml version="1.0" encoding="utf-8"?>
<ds:datastoreItem xmlns:ds="http://schemas.openxmlformats.org/officeDocument/2006/customXml" ds:itemID="{5c229d34-d14e-4755-b68a-2985a0c00824}">
  <ds:schemaRefs/>
</ds:datastoreItem>
</file>

<file path=customXml/itemProps5.xml><?xml version="1.0" encoding="utf-8"?>
<ds:datastoreItem xmlns:ds="http://schemas.openxmlformats.org/officeDocument/2006/customXml" ds:itemID="{b61d4838-b06e-40da-8f96-c5fc0cf37dfd}">
  <ds:schemaRefs/>
</ds:datastoreItem>
</file>

<file path=customXml/itemProps6.xml><?xml version="1.0" encoding="utf-8"?>
<ds:datastoreItem xmlns:ds="http://schemas.openxmlformats.org/officeDocument/2006/customXml" ds:itemID="{e8884a63-2880-467b-a2fd-3e425aa30f0b}">
  <ds:schemaRefs/>
</ds:datastoreItem>
</file>

<file path=customXml/itemProps7.xml><?xml version="1.0" encoding="utf-8"?>
<ds:datastoreItem xmlns:ds="http://schemas.openxmlformats.org/officeDocument/2006/customXml" ds:itemID="{332e7f8c-6e4e-4e9d-93cf-6ecec0835e57}">
  <ds:schemaRefs/>
</ds:datastoreItem>
</file>

<file path=customXml/itemProps8.xml><?xml version="1.0" encoding="utf-8"?>
<ds:datastoreItem xmlns:ds="http://schemas.openxmlformats.org/officeDocument/2006/customXml" ds:itemID="{cacd65e3-7374-45ed-9cfe-69ef8b1dc19d}">
  <ds:schemaRefs/>
</ds:datastoreItem>
</file>

<file path=customXml/itemProps9.xml><?xml version="1.0" encoding="utf-8"?>
<ds:datastoreItem xmlns:ds="http://schemas.openxmlformats.org/officeDocument/2006/customXml" ds:itemID="{213b514c-495a-4fdf-96bc-1862905a940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7172</Words>
  <Characters>19277</Characters>
  <Lines>0</Lines>
  <Paragraphs>0</Paragraphs>
  <TotalTime>2</TotalTime>
  <ScaleCrop>false</ScaleCrop>
  <LinksUpToDate>false</LinksUpToDate>
  <CharactersWithSpaces>19281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顾城</cp:lastModifiedBy>
  <dcterms:modified xsi:type="dcterms:W3CDTF">2024-08-19T09:21:43Z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E06D266F13EA4024808CEEADBAD91186_11</vt:lpwstr>
  </property>
</Properties>
</file>