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4A52D">
      <w:pPr>
        <w:spacing w:before="100" w:beforeLines="0" w:after="100" w:afterLines="0"/>
        <w:jc w:val="center"/>
        <w:rPr>
          <w:rFonts w:hint="eastAsia" w:ascii="宋体" w:hAnsi="宋体"/>
          <w:sz w:val="24"/>
          <w:szCs w:val="24"/>
          <w:lang w:val="zh-CN"/>
        </w:rPr>
      </w:pPr>
    </w:p>
    <w:p w14:paraId="6B83A5BE">
      <w:pPr>
        <w:spacing w:before="100" w:beforeLines="0" w:after="100" w:afterLines="0"/>
        <w:jc w:val="center"/>
        <w:rPr>
          <w:rFonts w:hint="eastAsia" w:ascii="宋体" w:hAnsi="宋体"/>
          <w:sz w:val="24"/>
          <w:szCs w:val="24"/>
          <w:lang w:val="zh-CN"/>
        </w:rPr>
      </w:pPr>
    </w:p>
    <w:p w14:paraId="13DD09AC">
      <w:pPr>
        <w:spacing w:before="100" w:beforeLines="0" w:after="100" w:afterLines="0"/>
        <w:jc w:val="center"/>
        <w:rPr>
          <w:rFonts w:hint="eastAsia" w:ascii="宋体" w:hAnsi="宋体"/>
          <w:sz w:val="24"/>
          <w:szCs w:val="24"/>
          <w:lang w:val="zh-CN"/>
        </w:rPr>
      </w:pPr>
    </w:p>
    <w:p w14:paraId="2D7EF903">
      <w:pPr>
        <w:spacing w:before="100" w:beforeLines="0" w:after="100" w:afterLines="0"/>
        <w:jc w:val="center"/>
        <w:rPr>
          <w:rFonts w:hint="eastAsia" w:ascii="宋体" w:hAnsi="宋体"/>
          <w:sz w:val="24"/>
          <w:szCs w:val="24"/>
          <w:lang w:val="zh-CN"/>
        </w:rPr>
      </w:pPr>
    </w:p>
    <w:p w14:paraId="327C14C2">
      <w:pPr>
        <w:spacing w:before="100" w:beforeLines="0" w:after="100" w:afterLines="0"/>
        <w:jc w:val="center"/>
        <w:rPr>
          <w:rFonts w:hint="eastAsia" w:ascii="宋体" w:hAnsi="宋体"/>
          <w:sz w:val="24"/>
          <w:szCs w:val="24"/>
          <w:lang w:val="zh-CN"/>
        </w:rPr>
      </w:pPr>
    </w:p>
    <w:p w14:paraId="33C061EE">
      <w:pPr>
        <w:spacing w:before="100" w:beforeLines="0" w:after="100" w:afterLines="0"/>
        <w:jc w:val="center"/>
        <w:rPr>
          <w:rFonts w:hint="eastAsia" w:ascii="宋体" w:hAnsi="宋体"/>
          <w:sz w:val="24"/>
          <w:szCs w:val="24"/>
          <w:lang w:val="zh-CN"/>
        </w:rPr>
      </w:pPr>
    </w:p>
    <w:p w14:paraId="07AD2591">
      <w:pPr>
        <w:spacing w:before="100" w:beforeLines="0" w:after="100" w:afterLines="0"/>
        <w:jc w:val="center"/>
        <w:rPr>
          <w:rFonts w:hint="eastAsia" w:ascii="宋体" w:hAnsi="宋体"/>
          <w:sz w:val="24"/>
          <w:szCs w:val="24"/>
          <w:lang w:val="zh-CN"/>
        </w:rPr>
      </w:pPr>
    </w:p>
    <w:p w14:paraId="22086C29">
      <w:pPr>
        <w:spacing w:before="100" w:beforeLines="0" w:after="100" w:afterLines="0"/>
        <w:jc w:val="center"/>
        <w:rPr>
          <w:rFonts w:hint="eastAsia" w:ascii="宋体" w:hAnsi="宋体"/>
          <w:sz w:val="24"/>
          <w:szCs w:val="24"/>
          <w:lang w:val="zh-CN"/>
        </w:rPr>
      </w:pPr>
    </w:p>
    <w:p w14:paraId="3B40B2D6">
      <w:pPr>
        <w:spacing w:before="100" w:beforeLines="0" w:after="100" w:afterLines="0"/>
        <w:jc w:val="center"/>
        <w:rPr>
          <w:rFonts w:hint="eastAsia" w:ascii="宋体" w:hAnsi="宋体"/>
          <w:sz w:val="24"/>
          <w:szCs w:val="24"/>
          <w:lang w:val="zh-CN"/>
        </w:rPr>
      </w:pPr>
    </w:p>
    <w:p w14:paraId="2A1ED6D7">
      <w:pPr>
        <w:spacing w:before="100" w:beforeLines="0" w:after="100" w:afterLines="0"/>
        <w:jc w:val="center"/>
        <w:rPr>
          <w:rFonts w:hint="eastAsia" w:ascii="宋体" w:hAnsi="宋体"/>
          <w:sz w:val="24"/>
          <w:szCs w:val="24"/>
          <w:lang w:val="zh-CN"/>
        </w:rPr>
      </w:pPr>
    </w:p>
    <w:p w14:paraId="517707D9">
      <w:pPr>
        <w:spacing w:before="100" w:beforeLines="0" w:after="100" w:afterLines="0"/>
        <w:jc w:val="center"/>
        <w:rPr>
          <w:rFonts w:hint="eastAsia" w:ascii="宋体" w:hAnsi="宋体"/>
          <w:sz w:val="24"/>
          <w:szCs w:val="24"/>
          <w:lang w:val="zh-CN"/>
        </w:rPr>
      </w:pPr>
    </w:p>
    <w:p w14:paraId="6338B69A">
      <w:pPr>
        <w:spacing w:before="100" w:beforeLines="0" w:after="100" w:afterLines="0"/>
        <w:jc w:val="center"/>
        <w:rPr>
          <w:rFonts w:hint="eastAsia" w:ascii="宋体" w:hAnsi="宋体"/>
          <w:sz w:val="24"/>
          <w:szCs w:val="24"/>
          <w:lang w:val="zh-CN"/>
        </w:rPr>
      </w:pPr>
    </w:p>
    <w:p w14:paraId="153CE578">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14:paraId="01A0F9C9">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东乡族自治县移民（石化）中学部门决算</w:t>
      </w:r>
    </w:p>
    <w:p w14:paraId="5C1906EE">
      <w:pPr>
        <w:spacing w:before="100" w:beforeLines="0" w:after="100" w:afterLines="0"/>
        <w:jc w:val="center"/>
        <w:rPr>
          <w:rFonts w:hint="eastAsia" w:ascii="宋体" w:hAnsi="宋体"/>
          <w:sz w:val="24"/>
          <w:szCs w:val="24"/>
          <w:lang w:val="zh-CN"/>
        </w:rPr>
      </w:pPr>
    </w:p>
    <w:p w14:paraId="230D9F28">
      <w:pPr>
        <w:spacing w:before="100" w:beforeLines="0" w:after="100" w:afterLines="0"/>
        <w:jc w:val="center"/>
        <w:rPr>
          <w:rFonts w:hint="eastAsia" w:ascii="宋体" w:hAnsi="宋体"/>
          <w:sz w:val="24"/>
          <w:szCs w:val="24"/>
          <w:lang w:val="zh-CN"/>
        </w:rPr>
      </w:pPr>
    </w:p>
    <w:p w14:paraId="278D688C">
      <w:pPr>
        <w:spacing w:before="100" w:beforeLines="0" w:after="100" w:afterLines="0"/>
        <w:jc w:val="center"/>
        <w:rPr>
          <w:rFonts w:hint="eastAsia" w:ascii="宋体" w:hAnsi="宋体"/>
          <w:sz w:val="24"/>
          <w:szCs w:val="24"/>
          <w:lang w:val="zh-CN"/>
        </w:rPr>
      </w:pPr>
    </w:p>
    <w:p w14:paraId="5233C5B9">
      <w:pPr>
        <w:spacing w:before="100" w:beforeLines="0" w:after="100" w:afterLines="0"/>
        <w:jc w:val="center"/>
        <w:rPr>
          <w:rFonts w:hint="eastAsia" w:ascii="宋体" w:hAnsi="宋体"/>
          <w:sz w:val="24"/>
          <w:szCs w:val="24"/>
          <w:lang w:val="zh-CN"/>
        </w:rPr>
      </w:pPr>
    </w:p>
    <w:p w14:paraId="36E76A8D">
      <w:pPr>
        <w:spacing w:before="100" w:beforeLines="0" w:after="100" w:afterLines="0"/>
        <w:jc w:val="center"/>
        <w:rPr>
          <w:rFonts w:hint="eastAsia" w:ascii="宋体" w:hAnsi="宋体"/>
          <w:sz w:val="24"/>
          <w:szCs w:val="24"/>
          <w:lang w:val="zh-CN"/>
        </w:rPr>
      </w:pPr>
    </w:p>
    <w:p w14:paraId="30354854">
      <w:pPr>
        <w:spacing w:before="100" w:beforeLines="0" w:after="100" w:afterLines="0"/>
        <w:jc w:val="center"/>
        <w:rPr>
          <w:rFonts w:hint="eastAsia" w:ascii="宋体" w:hAnsi="宋体"/>
          <w:sz w:val="24"/>
          <w:szCs w:val="24"/>
          <w:lang w:val="zh-CN"/>
        </w:rPr>
      </w:pPr>
    </w:p>
    <w:p w14:paraId="62F97A35">
      <w:pPr>
        <w:spacing w:before="100" w:beforeLines="0" w:after="100" w:afterLines="0"/>
        <w:jc w:val="center"/>
        <w:rPr>
          <w:rFonts w:hint="eastAsia" w:ascii="宋体" w:hAnsi="宋体"/>
          <w:sz w:val="24"/>
          <w:szCs w:val="24"/>
          <w:lang w:val="zh-CN"/>
        </w:rPr>
      </w:pPr>
    </w:p>
    <w:p w14:paraId="512A24DD">
      <w:pPr>
        <w:spacing w:before="100" w:beforeLines="0" w:after="100" w:afterLines="0"/>
        <w:jc w:val="center"/>
        <w:rPr>
          <w:rFonts w:hint="eastAsia" w:ascii="宋体" w:hAnsi="宋体"/>
          <w:sz w:val="24"/>
          <w:szCs w:val="24"/>
          <w:lang w:val="zh-CN"/>
        </w:rPr>
      </w:pPr>
    </w:p>
    <w:p w14:paraId="131A2D67">
      <w:pPr>
        <w:spacing w:before="100" w:beforeLines="0" w:after="100" w:afterLines="0"/>
        <w:jc w:val="center"/>
        <w:rPr>
          <w:rFonts w:hint="eastAsia" w:ascii="宋体" w:hAnsi="宋体"/>
          <w:sz w:val="24"/>
          <w:szCs w:val="24"/>
          <w:lang w:val="zh-CN"/>
        </w:rPr>
      </w:pPr>
    </w:p>
    <w:p w14:paraId="5BFF79F1">
      <w:pPr>
        <w:spacing w:before="100" w:beforeLines="0" w:after="100" w:afterLines="0"/>
        <w:jc w:val="center"/>
        <w:rPr>
          <w:rFonts w:hint="eastAsia" w:ascii="宋体" w:hAnsi="宋体"/>
          <w:sz w:val="24"/>
          <w:szCs w:val="24"/>
          <w:lang w:val="zh-CN"/>
        </w:rPr>
      </w:pPr>
    </w:p>
    <w:p w14:paraId="32BCB0AF">
      <w:pPr>
        <w:spacing w:before="100" w:beforeLines="0" w:after="100" w:afterLines="0"/>
        <w:jc w:val="center"/>
        <w:rPr>
          <w:rFonts w:hint="eastAsia" w:ascii="宋体" w:hAnsi="宋体"/>
          <w:sz w:val="24"/>
          <w:szCs w:val="24"/>
          <w:lang w:val="zh-CN"/>
        </w:rPr>
      </w:pPr>
    </w:p>
    <w:p w14:paraId="32031310">
      <w:pPr>
        <w:spacing w:before="100" w:beforeLines="0" w:after="100" w:afterLines="0"/>
        <w:jc w:val="center"/>
        <w:rPr>
          <w:rFonts w:hint="eastAsia" w:ascii="宋体" w:hAnsi="宋体"/>
          <w:sz w:val="24"/>
          <w:szCs w:val="24"/>
          <w:lang w:val="zh-CN"/>
        </w:rPr>
      </w:pPr>
    </w:p>
    <w:p w14:paraId="60FF6AE8">
      <w:pPr>
        <w:spacing w:before="100" w:beforeLines="0" w:after="100" w:afterLines="0"/>
        <w:jc w:val="center"/>
        <w:rPr>
          <w:rFonts w:hint="eastAsia" w:ascii="宋体" w:hAnsi="宋体"/>
          <w:sz w:val="24"/>
          <w:szCs w:val="24"/>
          <w:lang w:val="zh-CN"/>
        </w:rPr>
      </w:pPr>
    </w:p>
    <w:p w14:paraId="358B9AA9">
      <w:pPr>
        <w:spacing w:before="100" w:beforeLines="0" w:after="100" w:afterLines="0"/>
        <w:jc w:val="center"/>
        <w:rPr>
          <w:rFonts w:hint="eastAsia" w:ascii="宋体" w:hAnsi="宋体"/>
          <w:sz w:val="24"/>
          <w:szCs w:val="24"/>
          <w:lang w:val="zh-CN"/>
        </w:rPr>
      </w:pPr>
    </w:p>
    <w:p w14:paraId="00A23CBA">
      <w:pPr>
        <w:spacing w:before="100" w:beforeLines="0" w:after="100" w:afterLines="0"/>
        <w:jc w:val="center"/>
        <w:rPr>
          <w:rFonts w:hint="eastAsia" w:ascii="宋体" w:hAnsi="宋体"/>
          <w:sz w:val="24"/>
          <w:szCs w:val="24"/>
          <w:lang w:val="zh-CN"/>
        </w:rPr>
      </w:pPr>
    </w:p>
    <w:p w14:paraId="4DE12CE3">
      <w:pPr>
        <w:spacing w:before="100" w:beforeLines="0" w:after="100" w:afterLines="0"/>
        <w:jc w:val="center"/>
        <w:rPr>
          <w:rFonts w:hint="eastAsia" w:ascii="宋体" w:hAnsi="宋体"/>
          <w:sz w:val="24"/>
          <w:szCs w:val="24"/>
          <w:lang w:val="zh-CN"/>
        </w:rPr>
      </w:pPr>
    </w:p>
    <w:p w14:paraId="07B34AB5">
      <w:pPr>
        <w:spacing w:before="100" w:beforeLines="0" w:after="100" w:afterLines="0"/>
        <w:jc w:val="center"/>
        <w:rPr>
          <w:rFonts w:hint="eastAsia" w:ascii="宋体" w:hAnsi="宋体"/>
          <w:sz w:val="24"/>
          <w:szCs w:val="24"/>
          <w:lang w:val="zh-CN"/>
        </w:rPr>
      </w:pPr>
    </w:p>
    <w:p w14:paraId="00034AE4">
      <w:pPr>
        <w:spacing w:before="100" w:beforeLines="0" w:after="100" w:afterLines="0"/>
        <w:jc w:val="center"/>
        <w:rPr>
          <w:rFonts w:hint="eastAsia" w:ascii="宋体" w:hAnsi="宋体"/>
          <w:sz w:val="24"/>
          <w:szCs w:val="24"/>
          <w:lang w:val="zh-CN"/>
        </w:rPr>
      </w:pPr>
    </w:p>
    <w:p w14:paraId="3DDE0C36">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14:paraId="5E289B71">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14:paraId="3330091C">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00EB6A5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14:paraId="58D11446">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14:paraId="78FDA8C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14:paraId="04E27E4F">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14:paraId="6E1D7124">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14:paraId="5D2987F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14:paraId="25FCF69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14:paraId="2C4A38A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14:paraId="771A2BC4">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14:paraId="0FA166A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14:paraId="2065C60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14:paraId="047EECB8">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14:paraId="5D6BA59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14:paraId="5A348B7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14:paraId="2ACB423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14:paraId="1D7B63F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14:paraId="1C331F1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14:paraId="13E4205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14:paraId="472AADCC">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14:paraId="232D9B94">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14:paraId="7617DDD8">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14:paraId="5C6637D9">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14:paraId="7456EFD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14:paraId="7F4C3D9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14:paraId="1B4D8C44">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14:paraId="43AA3C42">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14:paraId="0252DCC9">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14:paraId="48A38244">
      <w:pPr>
        <w:spacing w:before="100" w:beforeLines="0" w:after="100" w:afterLines="0"/>
        <w:jc w:val="center"/>
        <w:rPr>
          <w:rFonts w:hint="eastAsia" w:ascii="宋体" w:hAnsi="宋体"/>
          <w:sz w:val="24"/>
          <w:szCs w:val="24"/>
          <w:lang w:val="zh-CN"/>
        </w:rPr>
      </w:pPr>
    </w:p>
    <w:p w14:paraId="18731DEB">
      <w:pPr>
        <w:spacing w:before="100" w:beforeLines="0" w:after="100" w:afterLines="0"/>
        <w:jc w:val="center"/>
        <w:rPr>
          <w:rFonts w:hint="eastAsia" w:ascii="宋体" w:hAnsi="宋体"/>
          <w:sz w:val="24"/>
          <w:szCs w:val="24"/>
          <w:lang w:val="zh-CN"/>
        </w:rPr>
      </w:pPr>
    </w:p>
    <w:p w14:paraId="6A9C5178">
      <w:pPr>
        <w:spacing w:before="100" w:beforeLines="0" w:after="100" w:afterLines="0"/>
        <w:jc w:val="center"/>
        <w:rPr>
          <w:rFonts w:hint="eastAsia" w:ascii="宋体" w:hAnsi="宋体"/>
          <w:sz w:val="24"/>
          <w:szCs w:val="24"/>
          <w:lang w:val="zh-CN"/>
        </w:rPr>
      </w:pPr>
    </w:p>
    <w:p w14:paraId="7DABB6CB">
      <w:pPr>
        <w:spacing w:before="100" w:beforeLines="0" w:after="100" w:afterLines="0"/>
        <w:jc w:val="center"/>
        <w:rPr>
          <w:rFonts w:hint="eastAsia" w:ascii="宋体" w:hAnsi="宋体"/>
          <w:sz w:val="24"/>
          <w:szCs w:val="24"/>
          <w:lang w:val="zh-CN"/>
        </w:rPr>
      </w:pPr>
    </w:p>
    <w:p w14:paraId="341E92F7">
      <w:pPr>
        <w:spacing w:before="100" w:beforeLines="0" w:after="100" w:afterLines="0"/>
        <w:jc w:val="center"/>
        <w:rPr>
          <w:rFonts w:hint="eastAsia" w:ascii="宋体" w:hAnsi="宋体"/>
          <w:sz w:val="24"/>
          <w:szCs w:val="24"/>
          <w:lang w:val="zh-CN"/>
        </w:rPr>
      </w:pPr>
    </w:p>
    <w:p w14:paraId="49A7AEE0">
      <w:pPr>
        <w:spacing w:before="100" w:beforeLines="0" w:after="100" w:afterLines="0"/>
        <w:jc w:val="center"/>
        <w:rPr>
          <w:rFonts w:hint="eastAsia" w:ascii="宋体" w:hAnsi="宋体"/>
          <w:sz w:val="24"/>
          <w:szCs w:val="24"/>
          <w:lang w:val="zh-CN"/>
        </w:rPr>
      </w:pPr>
    </w:p>
    <w:p w14:paraId="2670E1DC">
      <w:pPr>
        <w:spacing w:before="100" w:beforeLines="0" w:after="100" w:afterLines="0"/>
        <w:jc w:val="center"/>
        <w:rPr>
          <w:rFonts w:hint="eastAsia" w:ascii="宋体" w:hAnsi="宋体"/>
          <w:sz w:val="24"/>
          <w:szCs w:val="24"/>
          <w:lang w:val="zh-CN"/>
        </w:rPr>
      </w:pPr>
    </w:p>
    <w:p w14:paraId="3CC0FA94">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14:paraId="619DDD8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20C84199">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(一)制定符合党的教育方针和国家教育法律法规的小学数育发展规划并抓好组织实施和落实工作。</w:t>
      </w:r>
    </w:p>
    <w:p w14:paraId="70C45528">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(二)贯彻、执行教育法律法规和政策规定,坚持依法治教、依法治学。巩固提高“两基”工作成果和整体水平,配合教育局依法动员、组织适龄儿童少年入学,严格控制辍学,巩固两基成果。</w:t>
      </w:r>
    </w:p>
    <w:p w14:paraId="1D2A1703">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(三)指导、管理、检查、评价学区内学校的教育教学工作,提高办学质量和办学效益。</w:t>
      </w:r>
    </w:p>
    <w:p w14:paraId="29CC5109">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(四)负责教育教学管理及教研教改工作,全力推进素质教育实施。</w:t>
      </w:r>
    </w:p>
    <w:p w14:paraId="412BD9B0">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(五)协助上级教育主管部门做好学区教师考核工作,负责教师管理、继续教育、考核考评等工作。</w:t>
      </w:r>
    </w:p>
    <w:p w14:paraId="09555487">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(六)负责财务管理,筹措资金,改善办学条件等工作。</w:t>
      </w:r>
    </w:p>
    <w:p w14:paraId="5E52CF96">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(七)完成当地政府和教育部门安排的各项工作任务。</w:t>
      </w:r>
    </w:p>
    <w:p w14:paraId="17E22E7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二、机构设置</w:t>
      </w:r>
    </w:p>
    <w:p w14:paraId="297AB498">
      <w:pPr>
        <w:spacing w:before="100" w:beforeLines="0" w:after="100" w:afterLines="0"/>
        <w:jc w:val="left"/>
        <w:rPr>
          <w:rFonts w:hint="default" w:ascii="宋体" w:hAnsi="宋体"/>
          <w:color w:val="auto"/>
          <w:sz w:val="24"/>
          <w:szCs w:val="24"/>
          <w:lang w:val="en-US" w:eastAsia="zh-CN"/>
        </w:rPr>
      </w:pPr>
      <w:r>
        <w:rPr>
          <w:rFonts w:hint="eastAsia" w:ascii="宋体" w:hAnsi="宋体"/>
          <w:color w:val="auto"/>
          <w:sz w:val="24"/>
          <w:szCs w:val="24"/>
          <w:lang w:val="zh-CN"/>
        </w:rPr>
        <w:t>根据上述职责,</w:t>
      </w:r>
      <w:r>
        <w:rPr>
          <w:rFonts w:hint="eastAsia" w:ascii="宋体" w:hAnsi="宋体"/>
          <w:color w:val="auto"/>
          <w:sz w:val="24"/>
          <w:szCs w:val="24"/>
          <w:lang w:val="en-US" w:eastAsia="zh-CN"/>
        </w:rPr>
        <w:t>东乡族自治县移民（石化）中学下设四个中心，两个群团组织：</w:t>
      </w:r>
    </w:p>
    <w:p w14:paraId="0BF38B4B">
      <w:pPr>
        <w:spacing w:before="100" w:beforeLines="0" w:after="100" w:afterLines="0"/>
        <w:jc w:val="left"/>
        <w:rPr>
          <w:rFonts w:hint="eastAsia" w:ascii="宋体" w:hAnsi="宋体"/>
          <w:color w:val="auto"/>
          <w:sz w:val="24"/>
          <w:szCs w:val="24"/>
          <w:lang w:val="zh-CN" w:eastAsia="zh-CN"/>
        </w:rPr>
      </w:pPr>
      <w:r>
        <w:rPr>
          <w:rFonts w:hint="eastAsia" w:ascii="宋体" w:hAnsi="宋体"/>
          <w:color w:val="auto"/>
          <w:sz w:val="24"/>
          <w:szCs w:val="24"/>
          <w:lang w:val="zh-CN"/>
        </w:rPr>
        <w:t>1.</w:t>
      </w:r>
      <w:r>
        <w:rPr>
          <w:rFonts w:hint="eastAsia" w:ascii="宋体" w:hAnsi="宋体"/>
          <w:color w:val="auto"/>
          <w:sz w:val="24"/>
          <w:szCs w:val="24"/>
          <w:lang w:val="en-US" w:eastAsia="zh-CN"/>
        </w:rPr>
        <w:t>党政服务中心</w:t>
      </w:r>
    </w:p>
    <w:p w14:paraId="3F05AB2D">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主要职责:配合教育局制定符合党的教育方针和国家教育法律法规的教育发展规划并抓好组织实施和落实工作;贯彻、执行教育法律法规和政策规定,坚持依法治教、依法治学。巩固提高“两基”工作成果和整体水平,配合教育局依法动员、组织适龄儿童少年入学,严格控制辍学,推进普及九年义务教育;指导管理、检查、评价学校的教育教学工作,提高办学质量和办学效益;负责教育教学管理及教研教改工作,全力推进素质教育实施协助上级教育主管部门做好学校教师考核工作,负责教师管理继续教育、考核考评等工作;</w:t>
      </w:r>
    </w:p>
    <w:p w14:paraId="622F5EEF">
      <w:pPr>
        <w:spacing w:before="100" w:beforeLines="0" w:after="100" w:afterLines="0"/>
        <w:jc w:val="left"/>
        <w:rPr>
          <w:rFonts w:hint="eastAsia" w:ascii="宋体" w:hAnsi="宋体"/>
          <w:color w:val="auto"/>
          <w:sz w:val="24"/>
          <w:szCs w:val="24"/>
          <w:lang w:val="zh-CN" w:eastAsia="zh-CN"/>
        </w:rPr>
      </w:pPr>
      <w:r>
        <w:rPr>
          <w:rFonts w:hint="eastAsia" w:ascii="宋体" w:hAnsi="宋体"/>
          <w:color w:val="auto"/>
          <w:sz w:val="24"/>
          <w:szCs w:val="24"/>
          <w:lang w:val="zh-CN"/>
        </w:rPr>
        <w:t>2.</w:t>
      </w:r>
      <w:r>
        <w:rPr>
          <w:rFonts w:hint="eastAsia" w:ascii="宋体" w:hAnsi="宋体"/>
          <w:color w:val="auto"/>
          <w:sz w:val="24"/>
          <w:szCs w:val="24"/>
          <w:lang w:val="en-US" w:eastAsia="zh-CN"/>
        </w:rPr>
        <w:t>教师发展服务中心</w:t>
      </w:r>
    </w:p>
    <w:p w14:paraId="411CB3DF">
      <w:pPr>
        <w:spacing w:before="100" w:beforeLines="0" w:after="100" w:afterLines="0"/>
        <w:jc w:val="left"/>
        <w:rPr>
          <w:rFonts w:hint="eastAsia" w:ascii="宋体" w:hAnsi="宋体"/>
          <w:color w:val="auto"/>
          <w:sz w:val="24"/>
          <w:szCs w:val="24"/>
          <w:lang w:val="zh-CN" w:eastAsia="zh-CN"/>
        </w:rPr>
      </w:pPr>
      <w:r>
        <w:rPr>
          <w:rFonts w:hint="eastAsia" w:ascii="宋体" w:hAnsi="宋体"/>
          <w:color w:val="auto"/>
          <w:sz w:val="24"/>
          <w:szCs w:val="24"/>
          <w:lang w:val="zh-CN"/>
        </w:rPr>
        <w:t>主要职责:协助校长制定并实施教育、教学工作计划;检查并总结学校的数育教学工作;组织管理教学工作,指导各科教师贯彻课程标准,执行教学计划,开展各种教学、教研活动,提高教学质量</w:t>
      </w:r>
      <w:r>
        <w:rPr>
          <w:rFonts w:hint="eastAsia" w:ascii="宋体" w:hAnsi="宋体"/>
          <w:color w:val="auto"/>
          <w:sz w:val="24"/>
          <w:szCs w:val="24"/>
          <w:lang w:val="zh-CN" w:eastAsia="zh-CN"/>
        </w:rPr>
        <w:t>。</w:t>
      </w:r>
      <w:r>
        <w:rPr>
          <w:rFonts w:hint="eastAsia" w:ascii="宋体" w:hAnsi="宋体"/>
          <w:color w:val="auto"/>
          <w:sz w:val="24"/>
          <w:szCs w:val="24"/>
          <w:lang w:val="zh-CN"/>
        </w:rPr>
        <w:t>定期召开教研组会议,指导教研组制订具体教学工作计划,指导教研组的研究活动,帮助教研组总结交流教学经验;深入课堂听课,定期召开部分教师和学生的座谈会;组织好“三课”(示范课、公开课,优质课),对外公开课的赛教活动;组织开展学科竞赛和各科课外科技活动;负责科研课题的实施;与教导处共同负贵“教坛新秀”、“教学能手”、“学科带头人”的评选推荐工作</w:t>
      </w:r>
      <w:r>
        <w:rPr>
          <w:rFonts w:hint="eastAsia" w:ascii="宋体" w:hAnsi="宋体"/>
          <w:color w:val="auto"/>
          <w:sz w:val="24"/>
          <w:szCs w:val="24"/>
          <w:lang w:val="zh-CN" w:eastAsia="zh-CN"/>
        </w:rPr>
        <w:t>。</w:t>
      </w:r>
    </w:p>
    <w:p w14:paraId="7E2D8CFE">
      <w:pPr>
        <w:spacing w:before="100" w:beforeLines="0" w:after="100" w:afterLines="0"/>
        <w:jc w:val="left"/>
        <w:rPr>
          <w:rFonts w:hint="eastAsia" w:ascii="宋体" w:hAnsi="宋体"/>
          <w:color w:val="auto"/>
          <w:sz w:val="24"/>
          <w:szCs w:val="24"/>
          <w:lang w:val="zh-CN" w:eastAsia="zh-CN"/>
        </w:rPr>
      </w:pPr>
      <w:r>
        <w:rPr>
          <w:rFonts w:hint="eastAsia" w:ascii="宋体" w:hAnsi="宋体"/>
          <w:color w:val="auto"/>
          <w:sz w:val="24"/>
          <w:szCs w:val="24"/>
          <w:lang w:val="en-US" w:eastAsia="zh-CN"/>
        </w:rPr>
        <w:t>3</w:t>
      </w:r>
      <w:r>
        <w:rPr>
          <w:rFonts w:hint="eastAsia" w:ascii="宋体" w:hAnsi="宋体"/>
          <w:color w:val="auto"/>
          <w:sz w:val="24"/>
          <w:szCs w:val="24"/>
          <w:lang w:val="zh-CN"/>
        </w:rPr>
        <w:t>.</w:t>
      </w:r>
      <w:r>
        <w:rPr>
          <w:rFonts w:hint="eastAsia" w:ascii="宋体" w:hAnsi="宋体"/>
          <w:color w:val="auto"/>
          <w:sz w:val="24"/>
          <w:szCs w:val="24"/>
          <w:lang w:val="en-US" w:eastAsia="zh-CN"/>
        </w:rPr>
        <w:t>学生成长服务中心</w:t>
      </w:r>
    </w:p>
    <w:p w14:paraId="757B691D">
      <w:pPr>
        <w:spacing w:before="100" w:beforeLines="0" w:after="100" w:afterLines="0"/>
        <w:jc w:val="left"/>
        <w:rPr>
          <w:rFonts w:hint="eastAsia" w:ascii="宋体" w:hAnsi="宋体"/>
          <w:color w:val="auto"/>
          <w:sz w:val="24"/>
          <w:szCs w:val="24"/>
          <w:lang w:val="zh-CN" w:eastAsia="zh-CN"/>
        </w:rPr>
      </w:pPr>
      <w:r>
        <w:rPr>
          <w:rFonts w:hint="eastAsia" w:ascii="宋体" w:hAnsi="宋体"/>
          <w:color w:val="auto"/>
          <w:sz w:val="24"/>
          <w:szCs w:val="24"/>
          <w:lang w:val="en-US" w:eastAsia="zh-CN"/>
        </w:rPr>
        <w:t>对学生</w:t>
      </w:r>
      <w:r>
        <w:rPr>
          <w:rFonts w:hint="eastAsia" w:ascii="宋体" w:hAnsi="宋体"/>
          <w:color w:val="auto"/>
          <w:sz w:val="24"/>
          <w:szCs w:val="24"/>
          <w:lang w:val="zh-CN"/>
        </w:rPr>
        <w:t>开展教育活动,向学生进行劳动教育,组织校外活动和家长会;组织安排学生的体育卫生和生活管理工作,抓好“两课”、“两操”(体育课、活动课、课间操、眼保健操和大课间活动)和学校体育运动会。搞好卫生保健工作,关心师生的身心健康;组织有关人员搞好招生、编班、学籍管理、考勤考绩课程表编排、资料以及资料室、图书室、实验室、电教室的有关工作;每学期末对教学工作,思想教育工作和体育卫生工作,进行一次书面总结,向校长汇报。组织教师总结教学经验,积极开展期末或学年末的评优奖励活动</w:t>
      </w:r>
      <w:r>
        <w:rPr>
          <w:rFonts w:hint="eastAsia" w:ascii="宋体" w:hAnsi="宋体"/>
          <w:color w:val="auto"/>
          <w:sz w:val="24"/>
          <w:szCs w:val="24"/>
          <w:lang w:val="zh-CN" w:eastAsia="zh-CN"/>
        </w:rPr>
        <w:t>。</w:t>
      </w:r>
    </w:p>
    <w:p w14:paraId="54D1C12C">
      <w:pPr>
        <w:spacing w:before="100" w:beforeLines="0" w:after="100" w:afterLines="0"/>
        <w:jc w:val="left"/>
        <w:rPr>
          <w:rFonts w:hint="eastAsia" w:ascii="宋体" w:hAnsi="宋体"/>
          <w:color w:val="auto"/>
          <w:sz w:val="24"/>
          <w:szCs w:val="24"/>
          <w:lang w:val="zh-CN" w:eastAsia="zh-CN"/>
        </w:rPr>
      </w:pPr>
      <w:r>
        <w:rPr>
          <w:rFonts w:hint="eastAsia" w:ascii="宋体" w:hAnsi="宋体"/>
          <w:color w:val="auto"/>
          <w:sz w:val="24"/>
          <w:szCs w:val="24"/>
          <w:lang w:val="en-US" w:eastAsia="zh-CN"/>
        </w:rPr>
        <w:t>4.后勤服务中心</w:t>
      </w:r>
    </w:p>
    <w:p w14:paraId="69C8C16D">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主要职责:</w:t>
      </w:r>
      <w:r>
        <w:rPr>
          <w:rFonts w:hint="eastAsia" w:ascii="宋体" w:hAnsi="宋体"/>
          <w:color w:val="auto"/>
          <w:sz w:val="24"/>
          <w:szCs w:val="24"/>
          <w:lang w:val="en-US" w:eastAsia="zh-CN"/>
        </w:rPr>
        <w:t>保障学校后请管理工作，保障学校正常教育教学工作的开展，并管理学校固定资产，安全保卫，餐饮住宿保障工作，</w:t>
      </w:r>
      <w:r>
        <w:rPr>
          <w:rFonts w:hint="eastAsia" w:ascii="宋体" w:hAnsi="宋体"/>
          <w:color w:val="auto"/>
          <w:sz w:val="24"/>
          <w:szCs w:val="24"/>
          <w:lang w:val="zh-CN"/>
        </w:rPr>
        <w:t>负责财务管理,筹措资金,改善办学条件等工作。</w:t>
      </w:r>
    </w:p>
    <w:p w14:paraId="372077E8">
      <w:pPr>
        <w:spacing w:before="100" w:beforeLines="0" w:after="100" w:afterLines="0"/>
        <w:jc w:val="left"/>
        <w:rPr>
          <w:rFonts w:hint="eastAsia" w:ascii="宋体" w:hAnsi="宋体"/>
          <w:color w:val="auto"/>
          <w:sz w:val="24"/>
          <w:szCs w:val="24"/>
          <w:lang w:val="en-US" w:eastAsia="zh-CN"/>
        </w:rPr>
      </w:pPr>
      <w:r>
        <w:rPr>
          <w:rFonts w:hint="eastAsia" w:ascii="宋体" w:hAnsi="宋体"/>
          <w:color w:val="auto"/>
          <w:sz w:val="24"/>
          <w:szCs w:val="24"/>
          <w:lang w:val="en-US" w:eastAsia="zh-CN"/>
        </w:rPr>
        <w:t>工会</w:t>
      </w:r>
    </w:p>
    <w:p w14:paraId="2EF1CA4A">
      <w:pPr>
        <w:spacing w:before="100" w:beforeLines="0" w:after="100" w:afterLines="0"/>
        <w:jc w:val="left"/>
        <w:rPr>
          <w:rFonts w:hint="eastAsia" w:ascii="宋体" w:hAnsi="宋体"/>
          <w:color w:val="auto"/>
          <w:sz w:val="24"/>
          <w:szCs w:val="24"/>
          <w:lang w:val="en-US" w:eastAsia="zh-CN"/>
        </w:rPr>
      </w:pPr>
      <w:r>
        <w:rPr>
          <w:rFonts w:hint="eastAsia" w:ascii="宋体" w:hAnsi="宋体"/>
          <w:color w:val="auto"/>
          <w:sz w:val="24"/>
          <w:szCs w:val="24"/>
          <w:lang w:val="en-US" w:eastAsia="zh-CN"/>
        </w:rPr>
        <w:t>主要职责：保障教职工正当权益，为教职工提供援助。</w:t>
      </w:r>
    </w:p>
    <w:p w14:paraId="6FB657DD">
      <w:pPr>
        <w:spacing w:before="100" w:beforeLines="0" w:after="100" w:afterLines="0"/>
        <w:jc w:val="left"/>
        <w:rPr>
          <w:rFonts w:hint="eastAsia" w:ascii="宋体" w:hAnsi="宋体"/>
          <w:color w:val="auto"/>
          <w:sz w:val="24"/>
          <w:szCs w:val="24"/>
          <w:lang w:val="en-US" w:eastAsia="zh-CN"/>
        </w:rPr>
      </w:pPr>
      <w:r>
        <w:rPr>
          <w:rFonts w:hint="eastAsia" w:ascii="宋体" w:hAnsi="宋体"/>
          <w:color w:val="auto"/>
          <w:sz w:val="24"/>
          <w:szCs w:val="24"/>
          <w:lang w:val="en-US" w:eastAsia="zh-CN"/>
        </w:rPr>
        <w:t>校团委</w:t>
      </w:r>
    </w:p>
    <w:p w14:paraId="49C0C78E">
      <w:pPr>
        <w:spacing w:before="100" w:beforeLines="0" w:after="100" w:afterLines="0"/>
        <w:jc w:val="left"/>
        <w:rPr>
          <w:rFonts w:hint="default" w:ascii="宋体" w:hAnsi="宋体"/>
          <w:color w:val="auto"/>
          <w:sz w:val="24"/>
          <w:szCs w:val="24"/>
          <w:lang w:val="en-US" w:eastAsia="zh-CN"/>
        </w:rPr>
      </w:pPr>
      <w:r>
        <w:rPr>
          <w:rFonts w:hint="eastAsia" w:ascii="宋体" w:hAnsi="宋体"/>
          <w:color w:val="auto"/>
          <w:sz w:val="24"/>
          <w:szCs w:val="24"/>
          <w:lang w:val="en-US" w:eastAsia="zh-CN"/>
        </w:rPr>
        <w:t>主要职责：发展团员，组织学生开展志愿活动，组织成立并管理学生自治组织，开展学生自我教育活动。</w:t>
      </w:r>
    </w:p>
    <w:p w14:paraId="3A6B6D13">
      <w:pPr>
        <w:spacing w:before="100" w:beforeLines="0" w:after="100" w:afterLines="0"/>
        <w:jc w:val="left"/>
        <w:rPr>
          <w:rFonts w:hint="eastAsia" w:ascii="宋体" w:hAnsi="宋体"/>
          <w:color w:val="auto"/>
          <w:sz w:val="24"/>
          <w:szCs w:val="24"/>
          <w:lang w:val="zh-CN"/>
        </w:rPr>
      </w:pPr>
    </w:p>
    <w:p w14:paraId="3EF41F6D">
      <w:pPr>
        <w:spacing w:before="100" w:beforeLines="0" w:after="100" w:afterLines="0"/>
        <w:jc w:val="both"/>
        <w:rPr>
          <w:rFonts w:hint="eastAsia" w:ascii="宋体" w:hAnsi="宋体"/>
          <w:b/>
          <w:color w:val="auto"/>
          <w:sz w:val="24"/>
          <w:szCs w:val="24"/>
          <w:lang w:val="zh-CN"/>
        </w:rPr>
      </w:pPr>
    </w:p>
    <w:p w14:paraId="2AE62653">
      <w:pPr>
        <w:spacing w:before="100" w:beforeLines="0" w:after="100" w:afterLines="0"/>
        <w:jc w:val="center"/>
        <w:rPr>
          <w:rFonts w:hint="eastAsia" w:ascii="宋体" w:hAnsi="宋体"/>
          <w:b/>
          <w:color w:val="auto"/>
          <w:sz w:val="24"/>
          <w:szCs w:val="24"/>
          <w:lang w:val="zh-CN"/>
        </w:rPr>
      </w:pPr>
    </w:p>
    <w:p w14:paraId="659C40B2">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14:paraId="098CD683">
      <w:pPr>
        <w:numPr>
          <w:ilvl w:val="0"/>
          <w:numId w:val="1"/>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收入支出决算总表</w:t>
      </w:r>
      <w:bookmarkStart w:id="0" w:name="_GoBack"/>
      <w:bookmarkEnd w:id="0"/>
    </w:p>
    <w:p w14:paraId="17C31A32">
      <w:pPr>
        <w:numPr>
          <w:ilvl w:val="0"/>
          <w:numId w:val="0"/>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object>
          <v:shape id="_x0000_i1025" o:spt="75" type="#_x0000_t75" style="height:371.2pt;width:431.8pt;" o:ole="t" filled="f" o:preferrelative="t" stroked="f" coordsize="21600,21600">
            <v:path/>
            <v:fill on="f" focussize="0,0"/>
            <v:stroke on="f"/>
            <v:imagedata r:id="rId5" o:title=""/>
            <o:lock v:ext="edit" aspectratio="f"/>
            <w10:wrap type="none"/>
            <w10:anchorlock/>
          </v:shape>
          <o:OLEObject Type="Embed" ProgID="Excel.Sheet.12" ShapeID="_x0000_i1025" DrawAspect="Content" ObjectID="_1468075725" r:id="rId4">
            <o:LockedField>false</o:LockedField>
          </o:OLEObject>
        </w:object>
      </w:r>
    </w:p>
    <w:p w14:paraId="1BB143F5">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收入决算表</w:t>
      </w:r>
    </w:p>
    <w:p w14:paraId="45C90376">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6" o:spt="75" type="#_x0000_t75" style="height:159.55pt;width:431.4pt;" o:ole="t" filled="f" o:preferrelative="t" stroked="f" coordsize="21600,21600">
            <v:path/>
            <v:fill on="f" focussize="0,0"/>
            <v:stroke on="f"/>
            <v:imagedata r:id="rId7" o:title=""/>
            <o:lock v:ext="edit" aspectratio="f"/>
            <w10:wrap type="none"/>
            <w10:anchorlock/>
          </v:shape>
          <o:OLEObject Type="Embed" ProgID="Excel.Sheet.12" ShapeID="_x0000_i1026" DrawAspect="Content" ObjectID="_1468075726" r:id="rId6">
            <o:LockedField>false</o:LockedField>
          </o:OLEObject>
        </w:object>
      </w:r>
    </w:p>
    <w:p w14:paraId="4985CEFD">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支出决算表</w:t>
      </w:r>
    </w:p>
    <w:p w14:paraId="7918641A">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7" o:spt="75" type="#_x0000_t75" style="height:152.7pt;width:432pt;" o:ole="t" filled="f" o:preferrelative="t" stroked="f" coordsize="21600,21600">
            <v:path/>
            <v:fill on="f" focussize="0,0"/>
            <v:stroke on="f"/>
            <v:imagedata r:id="rId9" o:title=""/>
            <o:lock v:ext="edit" aspectratio="f"/>
            <w10:wrap type="none"/>
            <w10:anchorlock/>
          </v:shape>
          <o:OLEObject Type="Embed" ProgID="Excel.Sheet.12" ShapeID="_x0000_i1027" DrawAspect="Content" ObjectID="_1468075727" r:id="rId8">
            <o:LockedField>false</o:LockedField>
          </o:OLEObject>
        </w:object>
      </w:r>
    </w:p>
    <w:p w14:paraId="4388439F">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财政拨款收入支出决算总表</w:t>
      </w:r>
    </w:p>
    <w:p w14:paraId="1A893961">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8" o:spt="75" type="#_x0000_t75" style="height:331.15pt;width:431.95pt;" o:ole="t" filled="f" o:preferrelative="t" stroked="f" coordsize="21600,21600">
            <v:path/>
            <v:fill on="f" focussize="0,0"/>
            <v:stroke on="f"/>
            <v:imagedata r:id="rId11" o:title=""/>
            <o:lock v:ext="edit" aspectratio="f"/>
            <w10:wrap type="none"/>
            <w10:anchorlock/>
          </v:shape>
          <o:OLEObject Type="Embed" ProgID="Excel.Sheet.12" ShapeID="_x0000_i1028" DrawAspect="Content" ObjectID="_1468075728" r:id="rId10">
            <o:LockedField>false</o:LockedField>
          </o:OLEObject>
        </w:object>
      </w:r>
    </w:p>
    <w:p w14:paraId="353E076A">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一般公共预算财政拨款支出决算表</w:t>
      </w:r>
    </w:p>
    <w:p w14:paraId="02BEF616">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9" o:spt="75" type="#_x0000_t75" style="height:204.4pt;width:431.45pt;" o:ole="t" filled="f" o:preferrelative="t" stroked="f" coordsize="21600,21600">
            <v:path/>
            <v:fill on="f" focussize="0,0"/>
            <v:stroke on="f"/>
            <v:imagedata r:id="rId13" o:title=""/>
            <o:lock v:ext="edit" aspectratio="f"/>
            <w10:wrap type="none"/>
            <w10:anchorlock/>
          </v:shape>
          <o:OLEObject Type="Embed" ProgID="Excel.Sheet.12" ShapeID="_x0000_i1029" DrawAspect="Content" ObjectID="_1468075729" r:id="rId12">
            <o:LockedField>false</o:LockedField>
          </o:OLEObject>
        </w:object>
      </w:r>
    </w:p>
    <w:p w14:paraId="789FC28D">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一般公共预算财政拨款基本支出决算明细表</w:t>
      </w:r>
    </w:p>
    <w:p w14:paraId="2A5BE9D1">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30" o:spt="75" type="#_x0000_t75" style="height:260.35pt;width:431.85pt;" o:ole="t" filled="f" o:preferrelative="t" stroked="f" coordsize="21600,21600">
            <v:path/>
            <v:fill on="f" focussize="0,0"/>
            <v:stroke on="f"/>
            <v:imagedata r:id="rId15" o:title=""/>
            <o:lock v:ext="edit" aspectratio="f"/>
            <w10:wrap type="none"/>
            <w10:anchorlock/>
          </v:shape>
          <o:OLEObject Type="Embed" ProgID="Excel.Sheet.12" ShapeID="_x0000_i1030" DrawAspect="Content" ObjectID="_1468075730" r:id="rId14">
            <o:LockedField>false</o:LockedField>
          </o:OLEObject>
        </w:object>
      </w:r>
    </w:p>
    <w:p w14:paraId="0A4351CA">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政府性基金预算财政拨款收入支出决算表</w:t>
      </w:r>
    </w:p>
    <w:p w14:paraId="7298D880">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31" o:spt="75" type="#_x0000_t75" style="height:84.45pt;width:431.75pt;" o:ole="t" filled="f" o:preferrelative="t" stroked="f" coordsize="21600,21600">
            <v:path/>
            <v:fill on="f" focussize="0,0"/>
            <v:stroke on="f"/>
            <v:imagedata r:id="rId17" o:title=""/>
            <o:lock v:ext="edit" aspectratio="f"/>
            <w10:wrap type="none"/>
            <w10:anchorlock/>
          </v:shape>
          <o:OLEObject Type="Embed" ProgID="Excel.Sheet.12" ShapeID="_x0000_i1031" DrawAspect="Content" ObjectID="_1468075731" r:id="rId16">
            <o:LockedField>false</o:LockedField>
          </o:OLEObject>
        </w:object>
      </w:r>
    </w:p>
    <w:p w14:paraId="4687D43D">
      <w:pPr>
        <w:numPr>
          <w:ilvl w:val="0"/>
          <w:numId w:val="0"/>
        </w:numPr>
        <w:spacing w:before="100" w:beforeLines="0" w:after="100" w:afterLines="0"/>
        <w:ind w:leftChars="0"/>
        <w:jc w:val="left"/>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备注：本部没有相关数据，故本表无数据。</w:t>
      </w:r>
    </w:p>
    <w:p w14:paraId="062665D8">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国有资本经营预算财政拨款支出决算表</w:t>
      </w:r>
    </w:p>
    <w:p w14:paraId="09D04517">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32" o:spt="75" type="#_x0000_t75" style="height:127.25pt;width:431.85pt;" o:ole="t" filled="f" o:preferrelative="t" stroked="f" coordsize="21600,21600">
            <v:path/>
            <v:fill on="f" focussize="0,0"/>
            <v:stroke on="f"/>
            <v:imagedata r:id="rId19" o:title=""/>
            <o:lock v:ext="edit" aspectratio="f"/>
            <w10:wrap type="none"/>
            <w10:anchorlock/>
          </v:shape>
          <o:OLEObject Type="Embed" ProgID="Excel.Sheet.12" ShapeID="_x0000_i1032" DrawAspect="Content" ObjectID="_1468075732" r:id="rId18">
            <o:LockedField>false</o:LockedField>
          </o:OLEObject>
        </w:object>
      </w:r>
    </w:p>
    <w:p w14:paraId="7A0E278A">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en-US" w:eastAsia="zh-CN"/>
        </w:rPr>
        <w:t>备注：本部没有相关数据，故本表无数据。</w:t>
      </w:r>
    </w:p>
    <w:p w14:paraId="71D2A911">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w:t>
      </w:r>
    </w:p>
    <w:tbl>
      <w:tblPr>
        <w:tblStyle w:val="2"/>
        <w:tblW w:w="1551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1"/>
        <w:gridCol w:w="1293"/>
        <w:gridCol w:w="1292"/>
        <w:gridCol w:w="1292"/>
        <w:gridCol w:w="1292"/>
        <w:gridCol w:w="1292"/>
        <w:gridCol w:w="1293"/>
        <w:gridCol w:w="1293"/>
        <w:gridCol w:w="1293"/>
        <w:gridCol w:w="1293"/>
        <w:gridCol w:w="1293"/>
        <w:gridCol w:w="1293"/>
      </w:tblGrid>
      <w:tr w14:paraId="0E8B8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58" w:type="dxa"/>
            <w:gridSpan w:val="6"/>
            <w:tcBorders>
              <w:top w:val="nil"/>
              <w:left w:val="nil"/>
              <w:bottom w:val="single" w:color="D4D4D4" w:sz="4" w:space="0"/>
              <w:right w:val="single" w:color="D4D4D4" w:sz="4" w:space="0"/>
            </w:tcBorders>
            <w:shd w:val="clear" w:color="auto" w:fill="F1F1F1"/>
            <w:vAlign w:val="center"/>
          </w:tcPr>
          <w:p w14:paraId="0850C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预算数</w:t>
            </w:r>
          </w:p>
        </w:tc>
        <w:tc>
          <w:tcPr>
            <w:tcW w:w="7758" w:type="dxa"/>
            <w:gridSpan w:val="6"/>
            <w:tcBorders>
              <w:top w:val="nil"/>
              <w:left w:val="nil"/>
              <w:bottom w:val="single" w:color="D4D4D4" w:sz="4" w:space="0"/>
              <w:right w:val="single" w:color="D4D4D4" w:sz="4" w:space="0"/>
            </w:tcBorders>
            <w:shd w:val="clear" w:color="auto" w:fill="F1F1F1"/>
            <w:vAlign w:val="center"/>
          </w:tcPr>
          <w:p w14:paraId="560AE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r>
      <w:tr w14:paraId="13EC0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93" w:type="dxa"/>
            <w:vMerge w:val="restart"/>
            <w:tcBorders>
              <w:top w:val="nil"/>
              <w:left w:val="nil"/>
              <w:bottom w:val="single" w:color="D4D4D4" w:sz="4" w:space="0"/>
              <w:right w:val="single" w:color="D4D4D4" w:sz="4" w:space="0"/>
            </w:tcBorders>
            <w:shd w:val="clear" w:color="auto" w:fill="F1F1F1"/>
            <w:vAlign w:val="center"/>
          </w:tcPr>
          <w:p w14:paraId="56EDC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93" w:type="dxa"/>
            <w:vMerge w:val="restart"/>
            <w:tcBorders>
              <w:top w:val="nil"/>
              <w:left w:val="nil"/>
              <w:bottom w:val="single" w:color="D4D4D4" w:sz="4" w:space="0"/>
              <w:right w:val="single" w:color="D4D4D4" w:sz="4" w:space="0"/>
            </w:tcBorders>
            <w:shd w:val="clear" w:color="auto" w:fill="F1F1F1"/>
            <w:vAlign w:val="center"/>
          </w:tcPr>
          <w:p w14:paraId="69C2C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3879" w:type="dxa"/>
            <w:gridSpan w:val="3"/>
            <w:tcBorders>
              <w:top w:val="nil"/>
              <w:left w:val="nil"/>
              <w:bottom w:val="single" w:color="D4D4D4" w:sz="4" w:space="0"/>
              <w:right w:val="single" w:color="D4D4D4" w:sz="4" w:space="0"/>
            </w:tcBorders>
            <w:shd w:val="clear" w:color="auto" w:fill="F1F1F1"/>
            <w:vAlign w:val="center"/>
          </w:tcPr>
          <w:p w14:paraId="0CE85F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1293" w:type="dxa"/>
            <w:vMerge w:val="restart"/>
            <w:tcBorders>
              <w:top w:val="nil"/>
              <w:left w:val="nil"/>
              <w:bottom w:val="single" w:color="D4D4D4" w:sz="4" w:space="0"/>
              <w:right w:val="single" w:color="D4D4D4" w:sz="4" w:space="0"/>
            </w:tcBorders>
            <w:shd w:val="clear" w:color="auto" w:fill="F1F1F1"/>
            <w:vAlign w:val="center"/>
          </w:tcPr>
          <w:p w14:paraId="3A54F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1293" w:type="dxa"/>
            <w:vMerge w:val="restart"/>
            <w:tcBorders>
              <w:top w:val="nil"/>
              <w:left w:val="nil"/>
              <w:bottom w:val="single" w:color="D4D4D4" w:sz="4" w:space="0"/>
              <w:right w:val="single" w:color="D4D4D4" w:sz="4" w:space="0"/>
            </w:tcBorders>
            <w:shd w:val="clear" w:color="auto" w:fill="F1F1F1"/>
            <w:vAlign w:val="center"/>
          </w:tcPr>
          <w:p w14:paraId="1D664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93" w:type="dxa"/>
            <w:vMerge w:val="restart"/>
            <w:tcBorders>
              <w:top w:val="nil"/>
              <w:left w:val="nil"/>
              <w:bottom w:val="single" w:color="D4D4D4" w:sz="4" w:space="0"/>
              <w:right w:val="single" w:color="D4D4D4" w:sz="4" w:space="0"/>
            </w:tcBorders>
            <w:shd w:val="clear" w:color="auto" w:fill="F1F1F1"/>
            <w:vAlign w:val="center"/>
          </w:tcPr>
          <w:p w14:paraId="257F7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3879" w:type="dxa"/>
            <w:gridSpan w:val="3"/>
            <w:tcBorders>
              <w:top w:val="nil"/>
              <w:left w:val="nil"/>
              <w:bottom w:val="single" w:color="D4D4D4" w:sz="4" w:space="0"/>
              <w:right w:val="single" w:color="D4D4D4" w:sz="4" w:space="0"/>
            </w:tcBorders>
            <w:shd w:val="clear" w:color="auto" w:fill="F1F1F1"/>
            <w:vAlign w:val="center"/>
          </w:tcPr>
          <w:p w14:paraId="271772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1293" w:type="dxa"/>
            <w:vMerge w:val="restart"/>
            <w:tcBorders>
              <w:top w:val="nil"/>
              <w:left w:val="nil"/>
              <w:bottom w:val="single" w:color="D4D4D4" w:sz="4" w:space="0"/>
              <w:right w:val="single" w:color="D4D4D4" w:sz="4" w:space="0"/>
            </w:tcBorders>
            <w:shd w:val="clear" w:color="auto" w:fill="F1F1F1"/>
            <w:vAlign w:val="center"/>
          </w:tcPr>
          <w:p w14:paraId="4A377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r>
      <w:tr w14:paraId="26CC3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93" w:type="dxa"/>
            <w:vMerge w:val="continue"/>
            <w:tcBorders>
              <w:top w:val="nil"/>
              <w:left w:val="nil"/>
              <w:bottom w:val="single" w:color="D4D4D4" w:sz="4" w:space="0"/>
              <w:right w:val="single" w:color="D4D4D4" w:sz="4" w:space="0"/>
            </w:tcBorders>
            <w:shd w:val="clear" w:color="auto" w:fill="F1F1F1"/>
            <w:vAlign w:val="center"/>
          </w:tcPr>
          <w:p w14:paraId="095BEF61">
            <w:pPr>
              <w:jc w:val="center"/>
              <w:rPr>
                <w:rFonts w:hint="eastAsia" w:ascii="宋体" w:hAnsi="宋体" w:eastAsia="宋体" w:cs="宋体"/>
                <w:i w:val="0"/>
                <w:iCs w:val="0"/>
                <w:color w:val="000000"/>
                <w:sz w:val="22"/>
                <w:szCs w:val="22"/>
                <w:u w:val="none"/>
              </w:rPr>
            </w:pPr>
          </w:p>
        </w:tc>
        <w:tc>
          <w:tcPr>
            <w:tcW w:w="1293" w:type="dxa"/>
            <w:vMerge w:val="continue"/>
            <w:tcBorders>
              <w:top w:val="nil"/>
              <w:left w:val="nil"/>
              <w:bottom w:val="single" w:color="D4D4D4" w:sz="4" w:space="0"/>
              <w:right w:val="single" w:color="D4D4D4" w:sz="4" w:space="0"/>
            </w:tcBorders>
            <w:shd w:val="clear" w:color="auto" w:fill="F1F1F1"/>
            <w:vAlign w:val="center"/>
          </w:tcPr>
          <w:p w14:paraId="150EAE33">
            <w:pPr>
              <w:jc w:val="center"/>
              <w:rPr>
                <w:rFonts w:hint="eastAsia" w:ascii="宋体" w:hAnsi="宋体" w:eastAsia="宋体" w:cs="宋体"/>
                <w:i w:val="0"/>
                <w:iCs w:val="0"/>
                <w:color w:val="000000"/>
                <w:sz w:val="22"/>
                <w:szCs w:val="22"/>
                <w:u w:val="none"/>
              </w:rPr>
            </w:pPr>
          </w:p>
        </w:tc>
        <w:tc>
          <w:tcPr>
            <w:tcW w:w="1293" w:type="dxa"/>
            <w:tcBorders>
              <w:top w:val="nil"/>
              <w:left w:val="nil"/>
              <w:bottom w:val="single" w:color="D4D4D4" w:sz="4" w:space="0"/>
              <w:right w:val="single" w:color="D4D4D4" w:sz="4" w:space="0"/>
            </w:tcBorders>
            <w:shd w:val="clear" w:color="auto" w:fill="F1F1F1"/>
            <w:vAlign w:val="center"/>
          </w:tcPr>
          <w:p w14:paraId="696082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293" w:type="dxa"/>
            <w:tcBorders>
              <w:top w:val="nil"/>
              <w:left w:val="nil"/>
              <w:bottom w:val="single" w:color="D4D4D4" w:sz="4" w:space="0"/>
              <w:right w:val="single" w:color="D4D4D4" w:sz="4" w:space="0"/>
            </w:tcBorders>
            <w:shd w:val="clear" w:color="auto" w:fill="F1F1F1"/>
            <w:vAlign w:val="center"/>
          </w:tcPr>
          <w:p w14:paraId="0CAC3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1293" w:type="dxa"/>
            <w:tcBorders>
              <w:top w:val="nil"/>
              <w:left w:val="nil"/>
              <w:bottom w:val="single" w:color="D4D4D4" w:sz="4" w:space="0"/>
              <w:right w:val="single" w:color="D4D4D4" w:sz="4" w:space="0"/>
            </w:tcBorders>
            <w:shd w:val="clear" w:color="auto" w:fill="F1F1F1"/>
            <w:vAlign w:val="center"/>
          </w:tcPr>
          <w:p w14:paraId="043E55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1293" w:type="dxa"/>
            <w:vMerge w:val="continue"/>
            <w:tcBorders>
              <w:top w:val="nil"/>
              <w:left w:val="nil"/>
              <w:bottom w:val="single" w:color="D4D4D4" w:sz="4" w:space="0"/>
              <w:right w:val="single" w:color="D4D4D4" w:sz="4" w:space="0"/>
            </w:tcBorders>
            <w:shd w:val="clear" w:color="auto" w:fill="F1F1F1"/>
            <w:vAlign w:val="center"/>
          </w:tcPr>
          <w:p w14:paraId="3C460B67">
            <w:pPr>
              <w:jc w:val="center"/>
              <w:rPr>
                <w:rFonts w:hint="eastAsia" w:ascii="宋体" w:hAnsi="宋体" w:eastAsia="宋体" w:cs="宋体"/>
                <w:i w:val="0"/>
                <w:iCs w:val="0"/>
                <w:color w:val="000000"/>
                <w:sz w:val="22"/>
                <w:szCs w:val="22"/>
                <w:u w:val="none"/>
              </w:rPr>
            </w:pPr>
          </w:p>
        </w:tc>
        <w:tc>
          <w:tcPr>
            <w:tcW w:w="1293" w:type="dxa"/>
            <w:vMerge w:val="continue"/>
            <w:tcBorders>
              <w:top w:val="nil"/>
              <w:left w:val="nil"/>
              <w:bottom w:val="single" w:color="D4D4D4" w:sz="4" w:space="0"/>
              <w:right w:val="single" w:color="D4D4D4" w:sz="4" w:space="0"/>
            </w:tcBorders>
            <w:shd w:val="clear" w:color="auto" w:fill="F1F1F1"/>
            <w:vAlign w:val="center"/>
          </w:tcPr>
          <w:p w14:paraId="54E1C7FF">
            <w:pPr>
              <w:jc w:val="center"/>
              <w:rPr>
                <w:rFonts w:hint="eastAsia" w:ascii="宋体" w:hAnsi="宋体" w:eastAsia="宋体" w:cs="宋体"/>
                <w:i w:val="0"/>
                <w:iCs w:val="0"/>
                <w:color w:val="000000"/>
                <w:sz w:val="22"/>
                <w:szCs w:val="22"/>
                <w:u w:val="none"/>
              </w:rPr>
            </w:pPr>
          </w:p>
        </w:tc>
        <w:tc>
          <w:tcPr>
            <w:tcW w:w="1293" w:type="dxa"/>
            <w:vMerge w:val="continue"/>
            <w:tcBorders>
              <w:top w:val="nil"/>
              <w:left w:val="nil"/>
              <w:bottom w:val="single" w:color="D4D4D4" w:sz="4" w:space="0"/>
              <w:right w:val="single" w:color="D4D4D4" w:sz="4" w:space="0"/>
            </w:tcBorders>
            <w:shd w:val="clear" w:color="auto" w:fill="F1F1F1"/>
            <w:vAlign w:val="center"/>
          </w:tcPr>
          <w:p w14:paraId="07912485">
            <w:pPr>
              <w:jc w:val="center"/>
              <w:rPr>
                <w:rFonts w:hint="eastAsia" w:ascii="宋体" w:hAnsi="宋体" w:eastAsia="宋体" w:cs="宋体"/>
                <w:i w:val="0"/>
                <w:iCs w:val="0"/>
                <w:color w:val="000000"/>
                <w:sz w:val="22"/>
                <w:szCs w:val="22"/>
                <w:u w:val="none"/>
              </w:rPr>
            </w:pPr>
          </w:p>
        </w:tc>
        <w:tc>
          <w:tcPr>
            <w:tcW w:w="1293" w:type="dxa"/>
            <w:tcBorders>
              <w:top w:val="nil"/>
              <w:left w:val="nil"/>
              <w:bottom w:val="single" w:color="D4D4D4" w:sz="4" w:space="0"/>
              <w:right w:val="single" w:color="D4D4D4" w:sz="4" w:space="0"/>
            </w:tcBorders>
            <w:shd w:val="clear" w:color="auto" w:fill="F1F1F1"/>
            <w:vAlign w:val="center"/>
          </w:tcPr>
          <w:p w14:paraId="72592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293" w:type="dxa"/>
            <w:tcBorders>
              <w:top w:val="nil"/>
              <w:left w:val="nil"/>
              <w:bottom w:val="single" w:color="D4D4D4" w:sz="4" w:space="0"/>
              <w:right w:val="single" w:color="D4D4D4" w:sz="4" w:space="0"/>
            </w:tcBorders>
            <w:shd w:val="clear" w:color="auto" w:fill="F1F1F1"/>
            <w:vAlign w:val="center"/>
          </w:tcPr>
          <w:p w14:paraId="27DC3E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1293" w:type="dxa"/>
            <w:tcBorders>
              <w:top w:val="nil"/>
              <w:left w:val="nil"/>
              <w:bottom w:val="single" w:color="D4D4D4" w:sz="4" w:space="0"/>
              <w:right w:val="single" w:color="D4D4D4" w:sz="4" w:space="0"/>
            </w:tcBorders>
            <w:shd w:val="clear" w:color="auto" w:fill="F1F1F1"/>
            <w:vAlign w:val="center"/>
          </w:tcPr>
          <w:p w14:paraId="20C8B0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1293" w:type="dxa"/>
            <w:vMerge w:val="continue"/>
            <w:tcBorders>
              <w:top w:val="nil"/>
              <w:left w:val="nil"/>
              <w:bottom w:val="single" w:color="D4D4D4" w:sz="4" w:space="0"/>
              <w:right w:val="single" w:color="D4D4D4" w:sz="4" w:space="0"/>
            </w:tcBorders>
            <w:shd w:val="clear" w:color="auto" w:fill="F1F1F1"/>
            <w:vAlign w:val="center"/>
          </w:tcPr>
          <w:p w14:paraId="7B22BCA0">
            <w:pPr>
              <w:jc w:val="center"/>
              <w:rPr>
                <w:rFonts w:hint="eastAsia" w:ascii="宋体" w:hAnsi="宋体" w:eastAsia="宋体" w:cs="宋体"/>
                <w:i w:val="0"/>
                <w:iCs w:val="0"/>
                <w:color w:val="000000"/>
                <w:sz w:val="22"/>
                <w:szCs w:val="22"/>
                <w:u w:val="none"/>
              </w:rPr>
            </w:pPr>
          </w:p>
        </w:tc>
      </w:tr>
      <w:tr w14:paraId="44439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93" w:type="dxa"/>
            <w:tcBorders>
              <w:top w:val="nil"/>
              <w:left w:val="nil"/>
              <w:bottom w:val="single" w:color="D4D4D4" w:sz="4" w:space="0"/>
              <w:right w:val="single" w:color="D4D4D4" w:sz="4" w:space="0"/>
            </w:tcBorders>
            <w:shd w:val="clear" w:color="auto" w:fill="F1F1F1"/>
            <w:vAlign w:val="center"/>
          </w:tcPr>
          <w:p w14:paraId="1BBE0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93" w:type="dxa"/>
            <w:tcBorders>
              <w:top w:val="nil"/>
              <w:left w:val="nil"/>
              <w:bottom w:val="single" w:color="D4D4D4" w:sz="4" w:space="0"/>
              <w:right w:val="single" w:color="D4D4D4" w:sz="4" w:space="0"/>
            </w:tcBorders>
            <w:shd w:val="clear" w:color="auto" w:fill="F1F1F1"/>
            <w:vAlign w:val="center"/>
          </w:tcPr>
          <w:p w14:paraId="45B2BF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93" w:type="dxa"/>
            <w:tcBorders>
              <w:top w:val="nil"/>
              <w:left w:val="nil"/>
              <w:bottom w:val="single" w:color="D4D4D4" w:sz="4" w:space="0"/>
              <w:right w:val="single" w:color="D4D4D4" w:sz="4" w:space="0"/>
            </w:tcBorders>
            <w:shd w:val="clear" w:color="auto" w:fill="F1F1F1"/>
            <w:vAlign w:val="center"/>
          </w:tcPr>
          <w:p w14:paraId="71F62C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93" w:type="dxa"/>
            <w:tcBorders>
              <w:top w:val="nil"/>
              <w:left w:val="nil"/>
              <w:bottom w:val="single" w:color="D4D4D4" w:sz="4" w:space="0"/>
              <w:right w:val="single" w:color="D4D4D4" w:sz="4" w:space="0"/>
            </w:tcBorders>
            <w:shd w:val="clear" w:color="auto" w:fill="F1F1F1"/>
            <w:vAlign w:val="center"/>
          </w:tcPr>
          <w:p w14:paraId="35BDE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93" w:type="dxa"/>
            <w:tcBorders>
              <w:top w:val="nil"/>
              <w:left w:val="nil"/>
              <w:bottom w:val="single" w:color="D4D4D4" w:sz="4" w:space="0"/>
              <w:right w:val="single" w:color="D4D4D4" w:sz="4" w:space="0"/>
            </w:tcBorders>
            <w:shd w:val="clear" w:color="auto" w:fill="F1F1F1"/>
            <w:vAlign w:val="center"/>
          </w:tcPr>
          <w:p w14:paraId="5CE0FF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93" w:type="dxa"/>
            <w:tcBorders>
              <w:top w:val="nil"/>
              <w:left w:val="nil"/>
              <w:bottom w:val="single" w:color="D4D4D4" w:sz="4" w:space="0"/>
              <w:right w:val="single" w:color="D4D4D4" w:sz="4" w:space="0"/>
            </w:tcBorders>
            <w:shd w:val="clear" w:color="auto" w:fill="F1F1F1"/>
            <w:vAlign w:val="center"/>
          </w:tcPr>
          <w:p w14:paraId="2B32B0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93" w:type="dxa"/>
            <w:tcBorders>
              <w:top w:val="nil"/>
              <w:left w:val="nil"/>
              <w:bottom w:val="single" w:color="D4D4D4" w:sz="4" w:space="0"/>
              <w:right w:val="single" w:color="D4D4D4" w:sz="4" w:space="0"/>
            </w:tcBorders>
            <w:shd w:val="clear" w:color="auto" w:fill="F1F1F1"/>
            <w:vAlign w:val="center"/>
          </w:tcPr>
          <w:p w14:paraId="04EF1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93" w:type="dxa"/>
            <w:tcBorders>
              <w:top w:val="nil"/>
              <w:left w:val="nil"/>
              <w:bottom w:val="single" w:color="D4D4D4" w:sz="4" w:space="0"/>
              <w:right w:val="single" w:color="D4D4D4" w:sz="4" w:space="0"/>
            </w:tcBorders>
            <w:shd w:val="clear" w:color="auto" w:fill="F1F1F1"/>
            <w:vAlign w:val="center"/>
          </w:tcPr>
          <w:p w14:paraId="3D87B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93" w:type="dxa"/>
            <w:tcBorders>
              <w:top w:val="nil"/>
              <w:left w:val="nil"/>
              <w:bottom w:val="single" w:color="D4D4D4" w:sz="4" w:space="0"/>
              <w:right w:val="single" w:color="D4D4D4" w:sz="4" w:space="0"/>
            </w:tcBorders>
            <w:shd w:val="clear" w:color="auto" w:fill="F1F1F1"/>
            <w:vAlign w:val="center"/>
          </w:tcPr>
          <w:p w14:paraId="66EF1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93" w:type="dxa"/>
            <w:tcBorders>
              <w:top w:val="nil"/>
              <w:left w:val="nil"/>
              <w:bottom w:val="single" w:color="D4D4D4" w:sz="4" w:space="0"/>
              <w:right w:val="single" w:color="D4D4D4" w:sz="4" w:space="0"/>
            </w:tcBorders>
            <w:shd w:val="clear" w:color="auto" w:fill="F1F1F1"/>
            <w:vAlign w:val="center"/>
          </w:tcPr>
          <w:p w14:paraId="48309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93" w:type="dxa"/>
            <w:tcBorders>
              <w:top w:val="nil"/>
              <w:left w:val="nil"/>
              <w:bottom w:val="single" w:color="D4D4D4" w:sz="4" w:space="0"/>
              <w:right w:val="single" w:color="D4D4D4" w:sz="4" w:space="0"/>
            </w:tcBorders>
            <w:shd w:val="clear" w:color="auto" w:fill="F1F1F1"/>
            <w:vAlign w:val="center"/>
          </w:tcPr>
          <w:p w14:paraId="00519C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93" w:type="dxa"/>
            <w:tcBorders>
              <w:top w:val="nil"/>
              <w:left w:val="nil"/>
              <w:bottom w:val="single" w:color="D4D4D4" w:sz="4" w:space="0"/>
              <w:right w:val="single" w:color="D4D4D4" w:sz="4" w:space="0"/>
            </w:tcBorders>
            <w:shd w:val="clear" w:color="auto" w:fill="F1F1F1"/>
            <w:vAlign w:val="center"/>
          </w:tcPr>
          <w:p w14:paraId="6F3A2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00B8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nil"/>
              <w:bottom w:val="single" w:color="D4D4D4" w:sz="4" w:space="0"/>
              <w:right w:val="single" w:color="D4D4D4" w:sz="4" w:space="0"/>
            </w:tcBorders>
            <w:shd w:val="clear" w:color="auto" w:fill="FFFFFF"/>
            <w:noWrap/>
            <w:vAlign w:val="center"/>
          </w:tcPr>
          <w:p w14:paraId="45542859">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D4D4D4" w:sz="4" w:space="0"/>
              <w:right w:val="single" w:color="D4D4D4" w:sz="4" w:space="0"/>
            </w:tcBorders>
            <w:shd w:val="clear" w:color="auto" w:fill="FFFFFF"/>
            <w:noWrap/>
            <w:vAlign w:val="center"/>
          </w:tcPr>
          <w:p w14:paraId="5E56A052">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D4D4D4" w:sz="4" w:space="0"/>
              <w:right w:val="single" w:color="D4D4D4" w:sz="4" w:space="0"/>
            </w:tcBorders>
            <w:shd w:val="clear" w:color="auto" w:fill="FFFFFF"/>
            <w:noWrap/>
            <w:vAlign w:val="center"/>
          </w:tcPr>
          <w:p w14:paraId="48ED3BF7">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D4D4D4" w:sz="4" w:space="0"/>
              <w:right w:val="single" w:color="D4D4D4" w:sz="4" w:space="0"/>
            </w:tcBorders>
            <w:shd w:val="clear" w:color="auto" w:fill="FFFFFF"/>
            <w:noWrap/>
            <w:vAlign w:val="center"/>
          </w:tcPr>
          <w:p w14:paraId="4CBDDADB">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D4D4D4" w:sz="4" w:space="0"/>
              <w:right w:val="single" w:color="D4D4D4" w:sz="4" w:space="0"/>
            </w:tcBorders>
            <w:shd w:val="clear" w:color="auto" w:fill="FFFFFF"/>
            <w:noWrap/>
            <w:vAlign w:val="center"/>
          </w:tcPr>
          <w:p w14:paraId="171DC3FF">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D4D4D4" w:sz="4" w:space="0"/>
              <w:right w:val="single" w:color="D4D4D4" w:sz="4" w:space="0"/>
            </w:tcBorders>
            <w:shd w:val="clear" w:color="auto" w:fill="FFFFFF"/>
            <w:noWrap/>
            <w:vAlign w:val="center"/>
          </w:tcPr>
          <w:p w14:paraId="4B79B4AB">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D4D4D4" w:sz="4" w:space="0"/>
              <w:right w:val="single" w:color="D4D4D4" w:sz="4" w:space="0"/>
            </w:tcBorders>
            <w:shd w:val="clear" w:color="auto" w:fill="FFFFFF"/>
            <w:noWrap/>
            <w:vAlign w:val="center"/>
          </w:tcPr>
          <w:p w14:paraId="186895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D4D4D4" w:sz="4" w:space="0"/>
              <w:right w:val="single" w:color="D4D4D4" w:sz="4" w:space="0"/>
            </w:tcBorders>
            <w:shd w:val="clear" w:color="auto" w:fill="FFFFFF"/>
            <w:noWrap/>
            <w:vAlign w:val="center"/>
          </w:tcPr>
          <w:p w14:paraId="5CAF04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D4D4D4" w:sz="4" w:space="0"/>
              <w:right w:val="single" w:color="D4D4D4" w:sz="4" w:space="0"/>
            </w:tcBorders>
            <w:shd w:val="clear" w:color="auto" w:fill="FFFFFF"/>
            <w:noWrap/>
            <w:vAlign w:val="center"/>
          </w:tcPr>
          <w:p w14:paraId="074506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D4D4D4" w:sz="4" w:space="0"/>
              <w:right w:val="single" w:color="D4D4D4" w:sz="4" w:space="0"/>
            </w:tcBorders>
            <w:shd w:val="clear" w:color="auto" w:fill="FFFFFF"/>
            <w:noWrap/>
            <w:vAlign w:val="center"/>
          </w:tcPr>
          <w:p w14:paraId="5B92993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D4D4D4" w:sz="4" w:space="0"/>
              <w:right w:val="single" w:color="D4D4D4" w:sz="4" w:space="0"/>
            </w:tcBorders>
            <w:shd w:val="clear" w:color="auto" w:fill="FFFFFF"/>
            <w:noWrap/>
            <w:vAlign w:val="center"/>
          </w:tcPr>
          <w:p w14:paraId="5AE767F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D4D4D4" w:sz="4" w:space="0"/>
              <w:right w:val="single" w:color="D4D4D4" w:sz="4" w:space="0"/>
            </w:tcBorders>
            <w:shd w:val="clear" w:color="auto" w:fill="FFFFFF"/>
            <w:noWrap/>
            <w:vAlign w:val="center"/>
          </w:tcPr>
          <w:p w14:paraId="40C25A1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BDA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516" w:type="dxa"/>
            <w:gridSpan w:val="12"/>
            <w:tcBorders>
              <w:top w:val="nil"/>
              <w:left w:val="nil"/>
              <w:bottom w:val="nil"/>
              <w:right w:val="nil"/>
            </w:tcBorders>
            <w:shd w:val="clear" w:color="auto" w:fill="FFFFFF"/>
            <w:vAlign w:val="center"/>
          </w:tcPr>
          <w:p w14:paraId="09F00D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r w14:paraId="25EFF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F48EEFE">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C2A1738">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31F5E73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DB27DB7">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5BCECE6">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C9F2D90">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C511D12">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37AAEB6">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17090E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3F2588F0">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D9595D9">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4EE8640">
            <w:pPr>
              <w:rPr>
                <w:rFonts w:hint="eastAsia" w:ascii="宋体" w:hAnsi="宋体" w:eastAsia="宋体" w:cs="宋体"/>
                <w:i w:val="0"/>
                <w:iCs w:val="0"/>
                <w:color w:val="000000"/>
                <w:sz w:val="22"/>
                <w:szCs w:val="22"/>
                <w:u w:val="none"/>
              </w:rPr>
            </w:pPr>
          </w:p>
        </w:tc>
      </w:tr>
    </w:tbl>
    <w:p w14:paraId="649130B0">
      <w:pPr>
        <w:numPr>
          <w:ilvl w:val="0"/>
          <w:numId w:val="0"/>
        </w:numPr>
        <w:spacing w:before="100" w:beforeLines="0" w:after="100" w:afterLines="0"/>
        <w:ind w:leftChars="0"/>
        <w:jc w:val="left"/>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备注：本部没有相关数据，故本表无数据。</w:t>
      </w:r>
    </w:p>
    <w:p w14:paraId="3FD5DA0F">
      <w:pPr>
        <w:numPr>
          <w:ilvl w:val="0"/>
          <w:numId w:val="0"/>
        </w:numPr>
        <w:spacing w:before="100" w:beforeLines="0" w:after="100" w:afterLines="0"/>
        <w:ind w:leftChars="0"/>
        <w:jc w:val="left"/>
        <w:rPr>
          <w:rFonts w:hint="eastAsia" w:ascii="宋体" w:hAnsi="宋体"/>
          <w:color w:val="auto"/>
          <w:sz w:val="24"/>
          <w:szCs w:val="24"/>
          <w:lang w:val="zh-CN"/>
        </w:rPr>
      </w:pPr>
    </w:p>
    <w:p w14:paraId="23D98A8A">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14:paraId="23BF56A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14:paraId="45F04213">
      <w:pPr>
        <w:spacing w:before="100" w:beforeLines="0" w:after="100" w:afterLines="0"/>
        <w:jc w:val="left"/>
        <w:rPr>
          <w:rFonts w:hint="default" w:ascii="宋体" w:hAnsi="宋体" w:eastAsia="宋体"/>
          <w:color w:val="FF0000"/>
          <w:sz w:val="24"/>
          <w:szCs w:val="24"/>
          <w:lang w:val="en-US" w:eastAsia="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2229.68万元。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增加1272.54万元,增长132.95%,</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本单位为新建学校，学校发展快速，学校教师、学生数等增加，各项资金收入支出都增加。</w:t>
      </w:r>
    </w:p>
    <w:p w14:paraId="4E0EBC38">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14:paraId="5827FA1F">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2023年度收入合计2185.64万元,其中：财政拨款收入1540.12万元,占70.47%；</w:t>
      </w:r>
      <w:r>
        <w:rPr>
          <w:rFonts w:hint="eastAsia" w:ascii="宋体" w:hAnsi="宋体"/>
          <w:color w:val="auto"/>
          <w:sz w:val="24"/>
          <w:szCs w:val="24"/>
          <w:lang w:val="en-US"/>
        </w:rPr>
        <w:t>其他</w:t>
      </w:r>
      <w:r>
        <w:rPr>
          <w:rFonts w:hint="eastAsia" w:ascii="宋体" w:hAnsi="宋体"/>
          <w:color w:val="auto"/>
          <w:sz w:val="24"/>
          <w:szCs w:val="24"/>
          <w:lang w:val="zh-CN"/>
        </w:rPr>
        <w:t>收入645.52万元,占29.53%；</w:t>
      </w:r>
    </w:p>
    <w:p w14:paraId="22FB64D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三、支出决算情况说明</w:t>
      </w:r>
    </w:p>
    <w:p w14:paraId="57B8FEEA">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2023年度支出合计2130.06万元,其中：基本支出1143.15万元,占53.67%；项目支出986.91万元,占46.33%。</w:t>
      </w:r>
    </w:p>
    <w:p w14:paraId="60EF63E6">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14:paraId="6DCCA685">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1544.13万元。与</w:t>
      </w:r>
      <w:r>
        <w:rPr>
          <w:rFonts w:hint="eastAsia" w:ascii="宋体" w:hAnsi="宋体"/>
          <w:color w:val="auto"/>
          <w:sz w:val="24"/>
          <w:szCs w:val="24"/>
          <w:lang w:val="en-US"/>
        </w:rPr>
        <w:t>上</w:t>
      </w:r>
      <w:r>
        <w:rPr>
          <w:rFonts w:hint="eastAsia" w:ascii="宋体" w:hAnsi="宋体"/>
          <w:color w:val="auto"/>
          <w:sz w:val="24"/>
          <w:szCs w:val="24"/>
          <w:lang w:val="zh-CN"/>
        </w:rPr>
        <w:t>年相比,各增加719.09万元,增长87.16%。</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本单位为新建学校，学校发展快速，学校教师、学生数等增加，各项资金收入支出都增加。</w:t>
      </w:r>
    </w:p>
    <w:p w14:paraId="4513DAEE">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14:paraId="1682962C">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14:paraId="0D9F13C0">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2023年度一般公共预算财政拨款支出1544.13万元,较上年决算数增加723.1万元,增长88.07%。</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本单位为新建学校，学校发展快速，学校教师、学生数等增加，各项资金支出都增加。</w:t>
      </w:r>
    </w:p>
    <w:p w14:paraId="3709F83A">
      <w:pPr>
        <w:numPr>
          <w:ilvl w:val="0"/>
          <w:numId w:val="2"/>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14:paraId="5C1D5D12">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1544.13万元，主要用于以下方面：一般公共服务支出3.53万元,占0.23%；教育支出1324.67万元,占85.79%；科学技术支出1.00万元，占0.06%；社会保障和就业支出147.73万元,占9.57%；卫生健康支出24.83万元,占1.61%；住房保障支出42.37万元,占2.74%；</w:t>
      </w:r>
    </w:p>
    <w:p w14:paraId="60DC89C3">
      <w:pPr>
        <w:numPr>
          <w:ilvl w:val="0"/>
          <w:numId w:val="2"/>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14:paraId="620985AA">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1544.13万元,支出决算为1544.13万元,完成年初预算的100.0%。其中：</w:t>
      </w:r>
    </w:p>
    <w:p w14:paraId="39DBEA21">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．一般公共服务支出</w:t>
      </w:r>
      <w:r>
        <w:rPr>
          <w:rFonts w:hint="eastAsia" w:ascii="宋体" w:hAnsi="宋体"/>
          <w:color w:val="auto"/>
          <w:sz w:val="24"/>
          <w:szCs w:val="24"/>
          <w:lang w:val="zh-CN"/>
        </w:rPr>
        <w:t>年初预算数为3.53万元,支出决算为3.53万元,完成年初预算的100.0%,决算数</w:t>
      </w:r>
      <w:r>
        <w:rPr>
          <w:rFonts w:hint="eastAsia" w:ascii="宋体" w:hAnsi="宋体"/>
          <w:color w:val="auto"/>
          <w:sz w:val="24"/>
          <w:szCs w:val="24"/>
          <w:lang w:val="en-US" w:eastAsia="zh-CN"/>
        </w:rPr>
        <w:t>等于</w:t>
      </w:r>
      <w:r>
        <w:rPr>
          <w:rFonts w:hint="eastAsia" w:ascii="宋体" w:hAnsi="宋体"/>
          <w:color w:val="auto"/>
          <w:sz w:val="24"/>
          <w:szCs w:val="24"/>
          <w:lang w:val="zh-CN"/>
        </w:rPr>
        <w:t>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按预算执行。</w:t>
      </w:r>
    </w:p>
    <w:p w14:paraId="53D6907A">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2</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年初预算数为1324.67万元,支出决算为1324.67万元,完成年初预算的100.0%,决算数</w:t>
      </w:r>
      <w:r>
        <w:rPr>
          <w:rFonts w:hint="eastAsia" w:ascii="宋体" w:hAnsi="宋体"/>
          <w:color w:val="auto"/>
          <w:sz w:val="24"/>
          <w:szCs w:val="24"/>
          <w:lang w:val="en-US" w:eastAsia="zh-CN"/>
        </w:rPr>
        <w:t>等于</w:t>
      </w:r>
      <w:r>
        <w:rPr>
          <w:rFonts w:hint="eastAsia" w:ascii="宋体" w:hAnsi="宋体"/>
          <w:color w:val="auto"/>
          <w:sz w:val="24"/>
          <w:szCs w:val="24"/>
          <w:lang w:val="zh-CN"/>
        </w:rPr>
        <w:t>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按预算执行。</w:t>
      </w:r>
    </w:p>
    <w:p w14:paraId="71E4F236">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3</w:t>
      </w:r>
      <w:r>
        <w:rPr>
          <w:rFonts w:hint="eastAsia" w:ascii="宋体" w:hAnsi="宋体"/>
          <w:b/>
          <w:color w:val="auto"/>
          <w:sz w:val="24"/>
          <w:szCs w:val="24"/>
          <w:lang w:val="zh-CN"/>
        </w:rPr>
        <w:t>．科学技术支出</w:t>
      </w:r>
      <w:r>
        <w:rPr>
          <w:rFonts w:hint="eastAsia" w:ascii="宋体" w:hAnsi="宋体"/>
          <w:color w:val="auto"/>
          <w:sz w:val="24"/>
          <w:szCs w:val="24"/>
          <w:lang w:val="zh-CN"/>
        </w:rPr>
        <w:t>年初预算数为1.00万元,支出决算为1.00万元,完成年初预算的100.0%,决算数</w:t>
      </w:r>
      <w:r>
        <w:rPr>
          <w:rFonts w:hint="eastAsia" w:ascii="宋体" w:hAnsi="宋体"/>
          <w:color w:val="auto"/>
          <w:sz w:val="24"/>
          <w:szCs w:val="24"/>
          <w:lang w:val="en-US" w:eastAsia="zh-CN"/>
        </w:rPr>
        <w:t>等于</w:t>
      </w:r>
      <w:r>
        <w:rPr>
          <w:rFonts w:hint="eastAsia" w:ascii="宋体" w:hAnsi="宋体"/>
          <w:color w:val="auto"/>
          <w:sz w:val="24"/>
          <w:szCs w:val="24"/>
          <w:lang w:val="zh-CN"/>
        </w:rPr>
        <w:t>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按预算执行。</w:t>
      </w:r>
    </w:p>
    <w:p w14:paraId="4F16BE8F">
      <w:pPr>
        <w:spacing w:before="100" w:beforeLines="0" w:after="100" w:afterLines="0"/>
        <w:jc w:val="left"/>
        <w:rPr>
          <w:rFonts w:hint="eastAsia" w:ascii="宋体" w:hAnsi="宋体"/>
          <w:color w:val="FF0000"/>
          <w:sz w:val="24"/>
          <w:szCs w:val="24"/>
          <w:lang w:val="en-US" w:eastAsia="zh-CN"/>
        </w:rPr>
      </w:pPr>
      <w:r>
        <w:rPr>
          <w:rFonts w:hint="eastAsia" w:ascii="宋体" w:hAnsi="宋体"/>
          <w:b/>
          <w:color w:val="auto"/>
          <w:sz w:val="24"/>
          <w:szCs w:val="24"/>
          <w:lang w:val="en-US" w:eastAsia="zh-CN"/>
        </w:rPr>
        <w:t>4</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年初预算数为147.73万元,支出决算为147.73万元,完成年初预算的100.0%,决算数</w:t>
      </w:r>
      <w:r>
        <w:rPr>
          <w:rFonts w:hint="eastAsia" w:ascii="宋体" w:hAnsi="宋体"/>
          <w:color w:val="auto"/>
          <w:sz w:val="24"/>
          <w:szCs w:val="24"/>
          <w:lang w:val="en-US" w:eastAsia="zh-CN"/>
        </w:rPr>
        <w:t>等于</w:t>
      </w:r>
      <w:r>
        <w:rPr>
          <w:rFonts w:hint="eastAsia" w:ascii="宋体" w:hAnsi="宋体"/>
          <w:color w:val="auto"/>
          <w:sz w:val="24"/>
          <w:szCs w:val="24"/>
          <w:lang w:val="zh-CN"/>
        </w:rPr>
        <w:t>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按预算执行。</w:t>
      </w:r>
    </w:p>
    <w:p w14:paraId="2304812C">
      <w:pPr>
        <w:spacing w:before="100" w:beforeLines="0" w:after="100" w:afterLines="0"/>
        <w:jc w:val="left"/>
        <w:rPr>
          <w:rFonts w:hint="eastAsia" w:ascii="宋体" w:hAnsi="宋体"/>
          <w:color w:val="auto"/>
          <w:sz w:val="24"/>
          <w:szCs w:val="24"/>
          <w:highlight w:val="red"/>
          <w:lang w:val="zh-CN"/>
        </w:rPr>
      </w:pPr>
      <w:r>
        <w:rPr>
          <w:rFonts w:hint="eastAsia" w:ascii="宋体" w:hAnsi="宋体"/>
          <w:b/>
          <w:color w:val="auto"/>
          <w:sz w:val="24"/>
          <w:szCs w:val="24"/>
          <w:lang w:val="en-US" w:eastAsia="zh-CN"/>
        </w:rPr>
        <w:t>5</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年初预算数为24.83万元,支出决算为24.83万元,完成年初预算的100.0%,决算数</w:t>
      </w:r>
      <w:r>
        <w:rPr>
          <w:rFonts w:hint="eastAsia" w:ascii="宋体" w:hAnsi="宋体"/>
          <w:color w:val="auto"/>
          <w:sz w:val="24"/>
          <w:szCs w:val="24"/>
          <w:lang w:val="en-US" w:eastAsia="zh-CN"/>
        </w:rPr>
        <w:t>等于</w:t>
      </w:r>
      <w:r>
        <w:rPr>
          <w:rFonts w:hint="eastAsia" w:ascii="宋体" w:hAnsi="宋体"/>
          <w:color w:val="auto"/>
          <w:sz w:val="24"/>
          <w:szCs w:val="24"/>
          <w:lang w:val="zh-CN"/>
        </w:rPr>
        <w:t>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按预算执行。</w:t>
      </w:r>
    </w:p>
    <w:p w14:paraId="50908D70">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6</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年初预算数为42.37万元,支出决算为42.37万元,完成年初预算的100.0%,决算数</w:t>
      </w:r>
      <w:r>
        <w:rPr>
          <w:rFonts w:hint="eastAsia" w:ascii="宋体" w:hAnsi="宋体"/>
          <w:color w:val="auto"/>
          <w:sz w:val="24"/>
          <w:szCs w:val="24"/>
          <w:lang w:val="en-US" w:eastAsia="zh-CN"/>
        </w:rPr>
        <w:t>等于</w:t>
      </w:r>
      <w:r>
        <w:rPr>
          <w:rFonts w:hint="eastAsia" w:ascii="宋体" w:hAnsi="宋体"/>
          <w:color w:val="auto"/>
          <w:sz w:val="24"/>
          <w:szCs w:val="24"/>
          <w:lang w:val="zh-CN"/>
        </w:rPr>
        <w:t>预算数的</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按预算执行。</w:t>
      </w:r>
    </w:p>
    <w:p w14:paraId="7373A58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14:paraId="7A862E24">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2023年度一般公共预算财政拨款基本支出557.21万元。其中：</w:t>
      </w:r>
    </w:p>
    <w:p w14:paraId="6F1B7CFE">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人员经费</w:t>
      </w:r>
      <w:r>
        <w:rPr>
          <w:rFonts w:hint="eastAsia" w:ascii="宋体" w:hAnsi="宋体"/>
          <w:color w:val="auto"/>
          <w:sz w:val="24"/>
          <w:szCs w:val="24"/>
          <w:lang w:val="zh-CN"/>
        </w:rPr>
        <w:t>553.69万元,较上年决算数减少164.6万元,下降22.92%,</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本年决算数据填报中，财政拨款中项目支出986.91万元，基本支出553.69万元，总支出相比上年增加，本年基本支出减少，项目支出增加。</w:t>
      </w:r>
      <w:r>
        <w:rPr>
          <w:rFonts w:hint="eastAsia" w:ascii="宋体" w:hAnsi="宋体"/>
          <w:color w:val="auto"/>
          <w:sz w:val="24"/>
          <w:szCs w:val="24"/>
          <w:lang w:val="zh-CN"/>
        </w:rPr>
        <w:t>人员经费用途</w:t>
      </w:r>
      <w:r>
        <w:rPr>
          <w:rFonts w:hint="eastAsia" w:ascii="宋体" w:hAnsi="宋体"/>
          <w:color w:val="FF0000"/>
          <w:sz w:val="24"/>
          <w:szCs w:val="24"/>
          <w:lang w:val="zh-CN"/>
        </w:rPr>
        <w:t>主要包括</w:t>
      </w:r>
      <w:r>
        <w:rPr>
          <w:rFonts w:hint="eastAsia" w:ascii="宋体" w:hAnsi="宋体"/>
          <w:color w:val="FF0000"/>
          <w:sz w:val="24"/>
          <w:szCs w:val="24"/>
          <w:lang w:val="en-US" w:eastAsia="zh-CN"/>
        </w:rPr>
        <w:t>基本工资147.52万元；奖金津贴164.98万元；奖金116.62万元；机关事业单位基本养老保险缴费61.55万元；职工基本医疗保险缴费19.39万元；其他社会保障缴费5.33万元；住房公积金38.3万元。</w:t>
      </w:r>
    </w:p>
    <w:p w14:paraId="6877854A">
      <w:pPr>
        <w:spacing w:before="100" w:beforeLines="0" w:after="100" w:afterLines="0"/>
        <w:jc w:val="left"/>
        <w:rPr>
          <w:rFonts w:hint="eastAsia" w:ascii="宋体" w:hAnsi="宋体"/>
          <w:color w:val="FF0000"/>
          <w:sz w:val="24"/>
          <w:szCs w:val="24"/>
          <w:lang w:val="en-US" w:eastAsia="zh-CN"/>
        </w:rPr>
      </w:pPr>
      <w:r>
        <w:rPr>
          <w:rFonts w:hint="eastAsia" w:ascii="宋体" w:hAnsi="宋体"/>
          <w:b/>
          <w:color w:val="auto"/>
          <w:sz w:val="24"/>
          <w:szCs w:val="24"/>
          <w:lang w:val="zh-CN"/>
        </w:rPr>
        <w:t>公用经费</w:t>
      </w:r>
      <w:r>
        <w:rPr>
          <w:rFonts w:hint="eastAsia" w:ascii="宋体" w:hAnsi="宋体"/>
          <w:color w:val="auto"/>
          <w:sz w:val="24"/>
          <w:szCs w:val="24"/>
          <w:lang w:val="zh-CN"/>
        </w:rPr>
        <w:t>3.53万元,较上年决算数减少99.21万元,下降96.57%,</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单位其他商品服务费用未纳入公用经费，只有工会经费费用。</w:t>
      </w:r>
      <w:r>
        <w:rPr>
          <w:rFonts w:hint="eastAsia" w:ascii="宋体" w:hAnsi="宋体"/>
          <w:color w:val="auto"/>
          <w:sz w:val="24"/>
          <w:szCs w:val="24"/>
          <w:lang w:val="zh-CN"/>
        </w:rPr>
        <w:t>。公用经费用途</w:t>
      </w:r>
      <w:r>
        <w:rPr>
          <w:rFonts w:hint="eastAsia" w:ascii="宋体" w:hAnsi="宋体"/>
          <w:color w:val="FF0000"/>
          <w:sz w:val="24"/>
          <w:szCs w:val="24"/>
          <w:lang w:val="zh-CN"/>
        </w:rPr>
        <w:t>主要包括</w:t>
      </w:r>
      <w:r>
        <w:rPr>
          <w:rFonts w:hint="eastAsia" w:ascii="宋体" w:hAnsi="宋体"/>
          <w:color w:val="FF0000"/>
          <w:sz w:val="24"/>
          <w:szCs w:val="24"/>
          <w:lang w:val="en-US" w:eastAsia="zh-CN"/>
        </w:rPr>
        <w:t>工会经费35267.33元。</w:t>
      </w:r>
    </w:p>
    <w:p w14:paraId="75301610">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14:paraId="50E2D155">
      <w:pPr>
        <w:spacing w:before="100" w:beforeLines="0" w:after="100" w:afterLines="0"/>
        <w:jc w:val="left"/>
        <w:rPr>
          <w:rFonts w:hint="eastAsia" w:ascii="宋体" w:hAnsi="宋体"/>
          <w:color w:val="auto"/>
          <w:sz w:val="24"/>
          <w:szCs w:val="24"/>
          <w:lang w:val="zh-CN"/>
        </w:rPr>
      </w:pPr>
      <w:r>
        <w:rPr>
          <w:rFonts w:hint="eastAsia" w:ascii="宋体" w:hAnsi="宋体"/>
          <w:color w:val="FF0000"/>
          <w:sz w:val="24"/>
          <w:szCs w:val="24"/>
          <w:lang w:val="zh-CN"/>
        </w:rPr>
        <w:t>本部门2023年度无政府性基金收入,也没有使用政府性基金安排的支出。</w:t>
      </w:r>
    </w:p>
    <w:p w14:paraId="13F8B28E">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14:paraId="2D27C122">
      <w:pPr>
        <w:spacing w:before="100" w:beforeLines="0" w:after="100" w:afterLines="0"/>
        <w:jc w:val="left"/>
        <w:rPr>
          <w:rFonts w:hint="eastAsia" w:ascii="宋体" w:hAnsi="宋体"/>
          <w:color w:val="FF0000"/>
          <w:sz w:val="24"/>
          <w:szCs w:val="24"/>
          <w:lang w:val="zh-CN"/>
        </w:rPr>
      </w:pPr>
      <w:r>
        <w:rPr>
          <w:rFonts w:hint="eastAsia" w:ascii="宋体" w:hAnsi="宋体"/>
          <w:color w:val="FF0000"/>
          <w:sz w:val="24"/>
          <w:szCs w:val="24"/>
          <w:lang w:val="zh-CN"/>
        </w:rPr>
        <w:t>本部门2023年度没有使用国有资本经营预算安排的支出。</w:t>
      </w:r>
    </w:p>
    <w:p w14:paraId="563A0E5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14:paraId="585CC23C">
      <w:pPr>
        <w:spacing w:before="100" w:beforeLines="0" w:after="100" w:afterLines="0"/>
        <w:jc w:val="left"/>
        <w:rPr>
          <w:rFonts w:hint="eastAsia" w:ascii="宋体" w:hAnsi="宋体"/>
          <w:color w:val="FF0000"/>
          <w:sz w:val="24"/>
          <w:szCs w:val="24"/>
          <w:lang w:val="zh-CN"/>
        </w:rPr>
      </w:pP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14A72ABB">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(一)</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经费财政拨款支出总体情况说明</w:t>
      </w:r>
    </w:p>
    <w:p w14:paraId="4D232767">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0E68E2B6">
      <w:pPr>
        <w:numPr>
          <w:ilvl w:val="0"/>
          <w:numId w:val="3"/>
        </w:numPr>
        <w:spacing w:before="100" w:beforeLines="0" w:after="100" w:afterLine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经费财政拨款支出决算具体情况说明</w:t>
      </w:r>
    </w:p>
    <w:p w14:paraId="53071B78">
      <w:pPr>
        <w:numPr>
          <w:ilvl w:val="0"/>
          <w:numId w:val="4"/>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因公出国(境)费用</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66752C53">
      <w:pPr>
        <w:numPr>
          <w:ilvl w:val="0"/>
          <w:numId w:val="4"/>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0FA763DE">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2.</w:t>
      </w:r>
      <w:r>
        <w:rPr>
          <w:rFonts w:hint="eastAsia" w:ascii="宋体" w:hAnsi="宋体"/>
          <w:b/>
          <w:color w:val="auto"/>
          <w:sz w:val="24"/>
          <w:szCs w:val="24"/>
          <w:lang w:val="zh-CN"/>
        </w:rPr>
        <w:t>公务用车购置及运行维护费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620FEDFF">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其中：公务用车购置费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经费。(由部门根据实际情况补充),</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eastAsia" w:ascii="宋体" w:hAnsi="宋体"/>
          <w:b/>
          <w:color w:val="auto"/>
          <w:sz w:val="24"/>
          <w:szCs w:val="24"/>
          <w:lang w:val="zh-CN"/>
        </w:rPr>
        <w:t>公务用车运行维护费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w:t>
      </w:r>
      <w:r>
        <w:rPr>
          <w:rFonts w:hint="eastAsia" w:ascii="宋体" w:hAnsi="宋体"/>
          <w:color w:val="FF0000"/>
          <w:sz w:val="24"/>
          <w:szCs w:val="24"/>
          <w:lang w:val="zh-CN"/>
        </w:rPr>
        <w:t>主要原因是我单位属于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1853AE25">
      <w:pPr>
        <w:numPr>
          <w:ilvl w:val="0"/>
          <w:numId w:val="5"/>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公务接待费</w:t>
      </w:r>
      <w:r>
        <w:rPr>
          <w:rFonts w:hint="eastAsia" w:ascii="宋体" w:hAnsi="宋体"/>
          <w:color w:val="auto"/>
          <w:sz w:val="24"/>
          <w:szCs w:val="24"/>
          <w:lang w:val="en-US"/>
        </w:rPr>
        <w:t>全</w:t>
      </w:r>
      <w:r>
        <w:rPr>
          <w:rFonts w:hint="eastAsia" w:ascii="宋体" w:hAnsi="宋体"/>
          <w:color w:val="auto"/>
          <w:sz w:val="24"/>
          <w:szCs w:val="24"/>
          <w:lang w:val="zh-CN"/>
        </w:rPr>
        <w:t>年预算数为0.00万元,支出决算为0.00万元,决算数小于预算数的</w:t>
      </w:r>
      <w:r>
        <w:rPr>
          <w:rFonts w:hint="eastAsia" w:ascii="宋体" w:hAnsi="宋体"/>
          <w:color w:val="FF0000"/>
          <w:sz w:val="24"/>
          <w:szCs w:val="24"/>
          <w:lang w:val="zh-CN"/>
        </w:rPr>
        <w:t>主要原因是我单位属于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FF0000"/>
          <w:sz w:val="24"/>
          <w:szCs w:val="24"/>
          <w:lang w:val="en-US"/>
        </w:rPr>
        <w:t>主要原因是</w:t>
      </w:r>
      <w:r>
        <w:rPr>
          <w:rFonts w:hint="eastAsia" w:ascii="宋体" w:hAnsi="宋体"/>
          <w:color w:val="FF0000"/>
          <w:sz w:val="24"/>
          <w:szCs w:val="24"/>
          <w:lang w:val="zh-CN"/>
        </w:rPr>
        <w:t>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6F466892">
      <w:pPr>
        <w:numPr>
          <w:ilvl w:val="0"/>
          <w:numId w:val="0"/>
        </w:numPr>
        <w:spacing w:before="100" w:beforeLines="0" w:after="100" w:afterLines="0"/>
        <w:jc w:val="left"/>
        <w:rPr>
          <w:rFonts w:hint="eastAsia" w:ascii="宋体" w:hAnsi="宋体"/>
          <w:color w:val="FF0000"/>
          <w:sz w:val="24"/>
          <w:szCs w:val="24"/>
          <w:lang w:val="en-US" w:eastAsia="zh-CN"/>
        </w:rPr>
      </w:pPr>
      <w:r>
        <w:rPr>
          <w:rFonts w:hint="eastAsia" w:ascii="宋体" w:hAnsi="宋体"/>
          <w:color w:val="000000" w:themeColor="text1"/>
          <w:sz w:val="24"/>
          <w:szCs w:val="24"/>
          <w:lang w:val="zh-CN"/>
          <w14:textFill>
            <w14:solidFill>
              <w14:schemeClr w14:val="tx1"/>
            </w14:solidFill>
          </w14:textFill>
        </w:rPr>
        <w:t>外事接待费支出0.00</w:t>
      </w:r>
      <w:r>
        <w:rPr>
          <w:rFonts w:hint="eastAsia" w:ascii="宋体" w:hAnsi="宋体"/>
          <w:color w:val="auto"/>
          <w:sz w:val="24"/>
          <w:szCs w:val="24"/>
          <w:lang w:val="zh-CN"/>
        </w:rPr>
        <w:t>万元。</w:t>
      </w:r>
      <w:r>
        <w:rPr>
          <w:rFonts w:hint="eastAsia" w:ascii="宋体" w:hAnsi="宋体"/>
          <w:color w:val="FF0000"/>
          <w:sz w:val="24"/>
          <w:szCs w:val="24"/>
          <w:lang w:val="zh-CN"/>
        </w:rPr>
        <w:t>主要是我单位属于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1CDDE620">
      <w:pPr>
        <w:numPr>
          <w:ilvl w:val="0"/>
          <w:numId w:val="0"/>
        </w:numPr>
        <w:spacing w:before="100" w:beforeLines="0" w:after="100" w:afterLines="0"/>
        <w:jc w:val="left"/>
        <w:rPr>
          <w:rFonts w:hint="default" w:ascii="宋体" w:hAnsi="宋体"/>
          <w:color w:val="FF0000"/>
          <w:sz w:val="24"/>
          <w:szCs w:val="24"/>
          <w:lang w:val="en-US" w:eastAsia="zh-CN"/>
        </w:rPr>
      </w:pPr>
      <w:r>
        <w:rPr>
          <w:rFonts w:hint="eastAsia" w:ascii="宋体" w:hAnsi="宋体"/>
          <w:color w:val="000000" w:themeColor="text1"/>
          <w:sz w:val="24"/>
          <w:szCs w:val="24"/>
          <w:lang w:val="en-US" w:eastAsia="zh-CN"/>
          <w14:textFill>
            <w14:solidFill>
              <w14:schemeClr w14:val="tx1"/>
            </w14:solidFill>
          </w14:textFill>
        </w:rPr>
        <w:t>其他国内公务接待支出</w:t>
      </w:r>
      <w:r>
        <w:rPr>
          <w:rFonts w:hint="eastAsia" w:ascii="宋体" w:hAnsi="宋体"/>
          <w:color w:val="auto"/>
          <w:sz w:val="24"/>
          <w:szCs w:val="24"/>
          <w:lang w:val="zh-CN"/>
        </w:rPr>
        <w:t>万元。</w:t>
      </w:r>
      <w:r>
        <w:rPr>
          <w:rFonts w:hint="eastAsia" w:ascii="宋体" w:hAnsi="宋体"/>
          <w:color w:val="FF0000"/>
          <w:sz w:val="24"/>
          <w:szCs w:val="24"/>
          <w:lang w:val="zh-CN"/>
        </w:rPr>
        <w:t>主要是我单位属于</w:t>
      </w:r>
      <w:r>
        <w:rPr>
          <w:rFonts w:hint="eastAsia" w:ascii="宋体" w:hAnsi="宋体"/>
          <w:color w:val="FF0000"/>
          <w:sz w:val="24"/>
          <w:szCs w:val="24"/>
          <w:lang w:val="en-US" w:eastAsia="zh-CN"/>
        </w:rPr>
        <w:t>二级预算单位</w:t>
      </w:r>
      <w:r>
        <w:rPr>
          <w:rFonts w:hint="eastAsia" w:ascii="宋体" w:hAnsi="宋体"/>
          <w:color w:val="FF0000"/>
          <w:sz w:val="24"/>
          <w:szCs w:val="24"/>
          <w:lang w:val="zh-CN"/>
        </w:rPr>
        <w:t>,财政未保障我单位</w:t>
      </w:r>
      <w:r>
        <w:rPr>
          <w:rFonts w:hint="default" w:ascii="宋体" w:hAnsi="宋体"/>
          <w:color w:val="FF0000"/>
          <w:sz w:val="24"/>
          <w:szCs w:val="24"/>
          <w:lang w:val="zh-CN"/>
        </w:rPr>
        <w:t>“</w:t>
      </w:r>
      <w:r>
        <w:rPr>
          <w:rFonts w:hint="eastAsia" w:ascii="宋体" w:hAnsi="宋体"/>
          <w:color w:val="FF0000"/>
          <w:sz w:val="24"/>
          <w:szCs w:val="24"/>
          <w:lang w:val="zh-CN"/>
        </w:rPr>
        <w:t>三公</w:t>
      </w:r>
      <w:r>
        <w:rPr>
          <w:rFonts w:hint="default" w:ascii="宋体" w:hAnsi="宋体"/>
          <w:color w:val="FF0000"/>
          <w:sz w:val="24"/>
          <w:szCs w:val="24"/>
          <w:lang w:val="zh-CN"/>
        </w:rPr>
        <w:t>”</w:t>
      </w:r>
      <w:r>
        <w:rPr>
          <w:rFonts w:hint="eastAsia" w:ascii="宋体" w:hAnsi="宋体"/>
          <w:color w:val="FF0000"/>
          <w:sz w:val="24"/>
          <w:szCs w:val="24"/>
          <w:lang w:val="zh-CN"/>
        </w:rPr>
        <w:t>经费。</w:t>
      </w:r>
    </w:p>
    <w:p w14:paraId="33C68605">
      <w:pPr>
        <w:numPr>
          <w:ilvl w:val="0"/>
          <w:numId w:val="3"/>
        </w:numPr>
        <w:spacing w:before="100" w:beforeLines="0" w:after="100" w:afterLines="0"/>
        <w:ind w:left="0" w:leftChars="0" w:firstLine="0" w:firstLineChar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经费财政拨款支出决算实物量情况</w:t>
      </w:r>
    </w:p>
    <w:p w14:paraId="51BA3218">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w:t>
      </w:r>
      <w:r>
        <w:rPr>
          <w:rFonts w:hint="eastAsia" w:ascii="宋体" w:hAnsi="宋体"/>
          <w:b/>
          <w:color w:val="auto"/>
          <w:sz w:val="24"/>
          <w:szCs w:val="24"/>
          <w:lang w:val="zh-CN"/>
        </w:rPr>
        <w:t>因公出国(境)</w:t>
      </w:r>
      <w:r>
        <w:rPr>
          <w:rFonts w:hint="eastAsia" w:ascii="宋体" w:hAnsi="宋体"/>
          <w:color w:val="auto"/>
          <w:sz w:val="24"/>
          <w:szCs w:val="24"/>
          <w:lang w:val="zh-CN"/>
        </w:rPr>
        <w:t>共计</w:t>
      </w:r>
      <w:r>
        <w:rPr>
          <w:rFonts w:hint="eastAsia" w:ascii="宋体" w:hAnsi="宋体"/>
          <w:color w:val="auto"/>
          <w:sz w:val="24"/>
          <w:szCs w:val="24"/>
          <w:lang w:val="en-US" w:eastAsia="zh-CN"/>
        </w:rPr>
        <w:t>0</w:t>
      </w:r>
      <w:r>
        <w:rPr>
          <w:rFonts w:hint="eastAsia" w:ascii="宋体" w:hAnsi="宋体"/>
          <w:color w:val="auto"/>
          <w:sz w:val="24"/>
          <w:szCs w:val="24"/>
          <w:lang w:val="zh-CN"/>
        </w:rPr>
        <w:t>个团组,</w:t>
      </w:r>
      <w:r>
        <w:rPr>
          <w:rFonts w:hint="eastAsia" w:ascii="宋体" w:hAnsi="宋体"/>
          <w:color w:val="auto"/>
          <w:sz w:val="24"/>
          <w:szCs w:val="24"/>
          <w:lang w:val="en-US" w:eastAsia="zh-CN"/>
        </w:rPr>
        <w:t>0</w:t>
      </w:r>
      <w:r>
        <w:rPr>
          <w:rFonts w:hint="eastAsia" w:ascii="宋体" w:hAnsi="宋体"/>
          <w:color w:val="auto"/>
          <w:sz w:val="24"/>
          <w:szCs w:val="24"/>
          <w:lang w:val="zh-CN"/>
        </w:rPr>
        <w:t>人；</w:t>
      </w:r>
      <w:r>
        <w:rPr>
          <w:rFonts w:hint="eastAsia" w:ascii="宋体" w:hAnsi="宋体"/>
          <w:b/>
          <w:color w:val="auto"/>
          <w:sz w:val="24"/>
          <w:szCs w:val="24"/>
          <w:lang w:val="zh-CN"/>
        </w:rPr>
        <w:t>公务用车购置</w:t>
      </w:r>
      <w:r>
        <w:rPr>
          <w:rFonts w:hint="eastAsia" w:ascii="宋体" w:hAnsi="宋体"/>
          <w:b/>
          <w:color w:val="auto"/>
          <w:sz w:val="24"/>
          <w:szCs w:val="24"/>
          <w:lang w:val="en-US" w:eastAsia="zh-CN"/>
        </w:rPr>
        <w:t>0</w:t>
      </w:r>
      <w:r>
        <w:rPr>
          <w:rFonts w:hint="eastAsia" w:ascii="宋体" w:hAnsi="宋体"/>
          <w:color w:val="auto"/>
          <w:sz w:val="24"/>
          <w:szCs w:val="24"/>
          <w:lang w:val="zh-CN"/>
        </w:rPr>
        <w:t>辆,</w:t>
      </w:r>
      <w:r>
        <w:rPr>
          <w:rFonts w:hint="eastAsia" w:ascii="宋体" w:hAnsi="宋体"/>
          <w:b/>
          <w:color w:val="auto"/>
          <w:sz w:val="24"/>
          <w:szCs w:val="24"/>
          <w:lang w:val="zh-CN"/>
        </w:rPr>
        <w:t>公务用车保有量</w:t>
      </w:r>
      <w:r>
        <w:rPr>
          <w:rFonts w:hint="eastAsia" w:ascii="宋体" w:hAnsi="宋体"/>
          <w:color w:val="auto"/>
          <w:sz w:val="24"/>
          <w:szCs w:val="24"/>
          <w:lang w:val="zh-CN"/>
        </w:rPr>
        <w:t>为</w:t>
      </w:r>
      <w:r>
        <w:rPr>
          <w:rFonts w:hint="eastAsia" w:ascii="宋体" w:hAnsi="宋体"/>
          <w:color w:val="auto"/>
          <w:sz w:val="24"/>
          <w:szCs w:val="24"/>
          <w:lang w:val="en-US" w:eastAsia="zh-CN"/>
        </w:rPr>
        <w:t>0</w:t>
      </w:r>
      <w:r>
        <w:rPr>
          <w:rFonts w:hint="eastAsia" w:ascii="宋体" w:hAnsi="宋体"/>
          <w:color w:val="auto"/>
          <w:sz w:val="24"/>
          <w:szCs w:val="24"/>
          <w:lang w:val="zh-CN"/>
        </w:rPr>
        <w:t>辆；</w:t>
      </w:r>
      <w:r>
        <w:rPr>
          <w:rFonts w:hint="eastAsia" w:ascii="宋体" w:hAnsi="宋体"/>
          <w:b/>
          <w:color w:val="auto"/>
          <w:sz w:val="24"/>
          <w:szCs w:val="24"/>
          <w:lang w:val="zh-CN"/>
        </w:rPr>
        <w:t>国内公务接待</w:t>
      </w:r>
      <w:r>
        <w:rPr>
          <w:rFonts w:hint="eastAsia" w:ascii="宋体" w:hAnsi="宋体"/>
          <w:color w:val="auto"/>
          <w:sz w:val="24"/>
          <w:szCs w:val="24"/>
          <w:lang w:val="zh-CN"/>
        </w:rPr>
        <w:t>批次</w:t>
      </w:r>
      <w:r>
        <w:rPr>
          <w:rFonts w:hint="eastAsia" w:ascii="宋体" w:hAnsi="宋体"/>
          <w:color w:val="auto"/>
          <w:sz w:val="24"/>
          <w:szCs w:val="24"/>
          <w:lang w:val="en-US" w:eastAsia="zh-CN"/>
        </w:rPr>
        <w:t>0</w:t>
      </w:r>
      <w:r>
        <w:rPr>
          <w:rFonts w:hint="eastAsia" w:ascii="宋体" w:hAnsi="宋体"/>
          <w:color w:val="auto"/>
          <w:sz w:val="24"/>
          <w:szCs w:val="24"/>
          <w:lang w:val="zh-CN"/>
        </w:rPr>
        <w:t>人,其中：</w:t>
      </w:r>
      <w:r>
        <w:rPr>
          <w:rFonts w:hint="eastAsia" w:ascii="宋体" w:hAnsi="宋体"/>
          <w:b/>
          <w:color w:val="auto"/>
          <w:sz w:val="24"/>
          <w:szCs w:val="24"/>
          <w:lang w:val="zh-CN"/>
        </w:rPr>
        <w:t>外事接待</w:t>
      </w:r>
      <w:r>
        <w:rPr>
          <w:rFonts w:hint="eastAsia" w:ascii="宋体" w:hAnsi="宋体"/>
          <w:color w:val="auto"/>
          <w:sz w:val="24"/>
          <w:szCs w:val="24"/>
          <w:lang w:val="zh-CN"/>
        </w:rPr>
        <w:t>批次,</w:t>
      </w:r>
      <w:r>
        <w:rPr>
          <w:rFonts w:hint="eastAsia" w:ascii="宋体" w:hAnsi="宋体"/>
          <w:color w:val="auto"/>
          <w:sz w:val="24"/>
          <w:szCs w:val="24"/>
          <w:lang w:val="en-US" w:eastAsia="zh-CN"/>
        </w:rPr>
        <w:t>0</w:t>
      </w:r>
      <w:r>
        <w:rPr>
          <w:rFonts w:hint="eastAsia" w:ascii="宋体" w:hAnsi="宋体"/>
          <w:color w:val="auto"/>
          <w:sz w:val="24"/>
          <w:szCs w:val="24"/>
          <w:lang w:val="zh-CN"/>
        </w:rPr>
        <w:t>人；</w:t>
      </w:r>
      <w:r>
        <w:rPr>
          <w:rFonts w:hint="eastAsia" w:ascii="宋体" w:hAnsi="宋体"/>
          <w:b/>
          <w:color w:val="auto"/>
          <w:sz w:val="24"/>
          <w:szCs w:val="24"/>
          <w:lang w:val="zh-CN"/>
        </w:rPr>
        <w:t>国(境)外公务接待</w:t>
      </w:r>
      <w:r>
        <w:rPr>
          <w:rFonts w:hint="eastAsia" w:ascii="宋体" w:hAnsi="宋体"/>
          <w:color w:val="auto"/>
          <w:sz w:val="24"/>
          <w:szCs w:val="24"/>
          <w:lang w:val="zh-CN"/>
        </w:rPr>
        <w:t>批次,</w:t>
      </w:r>
      <w:r>
        <w:rPr>
          <w:rFonts w:hint="eastAsia" w:ascii="宋体" w:hAnsi="宋体"/>
          <w:color w:val="auto"/>
          <w:sz w:val="24"/>
          <w:szCs w:val="24"/>
          <w:lang w:val="en-US" w:eastAsia="zh-CN"/>
        </w:rPr>
        <w:t>0</w:t>
      </w:r>
      <w:r>
        <w:rPr>
          <w:rFonts w:hint="eastAsia" w:ascii="宋体" w:hAnsi="宋体"/>
          <w:color w:val="auto"/>
          <w:sz w:val="24"/>
          <w:szCs w:val="24"/>
          <w:lang w:val="zh-CN"/>
        </w:rPr>
        <w:t>人。</w:t>
      </w:r>
    </w:p>
    <w:p w14:paraId="0D759EE8">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14:paraId="2CF7D1E5">
      <w:pPr>
        <w:spacing w:before="100" w:beforeLines="0" w:after="100" w:afterLines="0"/>
        <w:jc w:val="left"/>
        <w:rPr>
          <w:rFonts w:hint="eastAsia" w:ascii="宋体" w:hAnsi="宋体"/>
          <w:color w:val="FF0000"/>
          <w:sz w:val="24"/>
          <w:szCs w:val="24"/>
          <w:lang w:val="zh-CN"/>
        </w:rPr>
      </w:pPr>
      <w:r>
        <w:rPr>
          <w:rFonts w:hint="eastAsia" w:ascii="宋体" w:hAnsi="宋体"/>
          <w:color w:val="FF0000"/>
          <w:sz w:val="24"/>
          <w:szCs w:val="24"/>
          <w:lang w:val="zh-CN"/>
        </w:rPr>
        <w:t>我单位2023年度无机关运行相关经费。</w:t>
      </w:r>
    </w:p>
    <w:p w14:paraId="1D2A2724">
      <w:pPr>
        <w:spacing w:before="100" w:beforeLines="0" w:after="100" w:afterLines="0"/>
        <w:jc w:val="left"/>
        <w:rPr>
          <w:rFonts w:hint="eastAsia" w:ascii="宋体" w:hAnsi="宋体"/>
          <w:color w:val="FF0000"/>
          <w:sz w:val="24"/>
          <w:szCs w:val="24"/>
          <w:lang w:val="en-US" w:eastAsia="zh-CN"/>
        </w:rPr>
      </w:pPr>
      <w:r>
        <w:rPr>
          <w:rFonts w:hint="eastAsia" w:ascii="宋体" w:hAnsi="宋体"/>
          <w:color w:val="auto"/>
          <w:sz w:val="24"/>
          <w:szCs w:val="24"/>
          <w:lang w:val="zh-CN"/>
        </w:rPr>
        <w:t>2023年度本部门机关运行经费支出0.00万元,机关运行经费</w:t>
      </w:r>
      <w:r>
        <w:rPr>
          <w:rFonts w:hint="eastAsia" w:ascii="宋体" w:hAnsi="宋体"/>
          <w:color w:val="FF0000"/>
          <w:sz w:val="24"/>
          <w:szCs w:val="24"/>
          <w:lang w:val="zh-CN"/>
        </w:rPr>
        <w:t>主要用于开支......。</w:t>
      </w:r>
      <w:r>
        <w:rPr>
          <w:rFonts w:hint="eastAsia" w:ascii="宋体" w:hAnsi="宋体"/>
          <w:color w:val="auto"/>
          <w:sz w:val="24"/>
          <w:szCs w:val="24"/>
          <w:lang w:val="zh-CN"/>
        </w:rPr>
        <w:t>较上年决算数减少0.0万元,下降</w:t>
      </w:r>
      <w:r>
        <w:rPr>
          <w:rFonts w:hint="eastAsia" w:ascii="宋体" w:hAnsi="宋体"/>
          <w:color w:val="auto"/>
          <w:sz w:val="24"/>
          <w:szCs w:val="24"/>
          <w:lang w:val="en-US" w:eastAsia="zh-CN"/>
        </w:rPr>
        <w:t>0</w:t>
      </w:r>
      <w:r>
        <w:rPr>
          <w:rFonts w:hint="eastAsia" w:ascii="宋体" w:hAnsi="宋体"/>
          <w:color w:val="auto"/>
          <w:sz w:val="24"/>
          <w:szCs w:val="24"/>
          <w:lang w:val="zh-CN"/>
        </w:rPr>
        <w:t>%,</w:t>
      </w:r>
      <w:r>
        <w:rPr>
          <w:rFonts w:hint="eastAsia" w:ascii="宋体" w:hAnsi="宋体"/>
          <w:color w:val="FF0000"/>
          <w:sz w:val="24"/>
          <w:szCs w:val="24"/>
          <w:lang w:val="zh-CN"/>
        </w:rPr>
        <w:t>主要原因</w:t>
      </w:r>
      <w:r>
        <w:rPr>
          <w:rFonts w:hint="eastAsia" w:ascii="宋体" w:hAnsi="宋体"/>
          <w:color w:val="FF0000"/>
          <w:sz w:val="24"/>
          <w:szCs w:val="24"/>
          <w:lang w:val="en-US" w:eastAsia="zh-CN"/>
        </w:rPr>
        <w:t>本单位无机关运行经费。</w:t>
      </w:r>
    </w:p>
    <w:p w14:paraId="4AC6A74A">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本年度会议费支出0.00万元,较上年决算数减少0.0万元,下降</w:t>
      </w:r>
      <w:r>
        <w:rPr>
          <w:rFonts w:hint="eastAsia" w:ascii="宋体" w:hAnsi="宋体"/>
          <w:color w:val="auto"/>
          <w:sz w:val="24"/>
          <w:szCs w:val="24"/>
          <w:lang w:val="en-US" w:eastAsia="zh-CN"/>
        </w:rPr>
        <w:t>0</w:t>
      </w:r>
      <w:r>
        <w:rPr>
          <w:rFonts w:hint="eastAsia" w:ascii="宋体" w:hAnsi="宋体"/>
          <w:color w:val="auto"/>
          <w:sz w:val="24"/>
          <w:szCs w:val="24"/>
          <w:lang w:val="zh-CN"/>
        </w:rPr>
        <w:t>%,</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本单位无会议费支出</w:t>
      </w:r>
      <w:r>
        <w:rPr>
          <w:rFonts w:hint="eastAsia" w:ascii="宋体" w:hAnsi="宋体"/>
          <w:color w:val="FF0000"/>
          <w:sz w:val="24"/>
          <w:szCs w:val="24"/>
          <w:lang w:val="zh-CN"/>
        </w:rPr>
        <w:t>。</w:t>
      </w:r>
    </w:p>
    <w:p w14:paraId="65E28B91">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本年度培训费支出0.56万元,较上年决算数增加0.02万元,增长3.7%,</w:t>
      </w:r>
      <w:r>
        <w:rPr>
          <w:rFonts w:hint="eastAsia" w:ascii="宋体" w:hAnsi="宋体"/>
          <w:color w:val="FF0000"/>
          <w:sz w:val="24"/>
          <w:szCs w:val="24"/>
          <w:lang w:val="zh-CN"/>
        </w:rPr>
        <w:t>主要原因是</w:t>
      </w:r>
      <w:r>
        <w:rPr>
          <w:rFonts w:hint="eastAsia" w:ascii="宋体" w:hAnsi="宋体"/>
          <w:color w:val="FF0000"/>
          <w:sz w:val="24"/>
          <w:szCs w:val="24"/>
          <w:lang w:val="en-US" w:eastAsia="zh-CN"/>
        </w:rPr>
        <w:t>教师外出培训人次增加，费用增加。</w:t>
      </w:r>
    </w:p>
    <w:p w14:paraId="5687D9A5">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14:paraId="11A7B86A">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政府采购支出合计1.94万元,其中：政府采购货物支出1.94万元、政府采购工程支出0.00万元、政府采购服务支出0.00万元。授予中小企业合同金额1.94万元,占政府采购支出总额的100.00%,其中：授予小微企业合同金额1.94万元,占政府采购支出总额的100.00%。</w:t>
      </w:r>
    </w:p>
    <w:p w14:paraId="413C6B2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14:paraId="00923BDC">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w:t>
      </w:r>
      <w:r>
        <w:rPr>
          <w:rFonts w:hint="eastAsia" w:ascii="宋体" w:hAnsi="宋体"/>
          <w:color w:val="auto"/>
          <w:sz w:val="24"/>
          <w:szCs w:val="24"/>
          <w:lang w:val="en-US" w:eastAsia="zh-CN"/>
        </w:rPr>
        <w:t>0</w:t>
      </w:r>
      <w:r>
        <w:rPr>
          <w:rFonts w:hint="eastAsia" w:ascii="宋体" w:hAnsi="宋体"/>
          <w:color w:val="auto"/>
          <w:sz w:val="24"/>
          <w:szCs w:val="24"/>
          <w:lang w:val="zh-CN"/>
        </w:rPr>
        <w:t>辆,其中,副部(省)级及以上领导用车</w:t>
      </w:r>
      <w:r>
        <w:rPr>
          <w:rFonts w:hint="eastAsia" w:ascii="宋体" w:hAnsi="宋体"/>
          <w:color w:val="auto"/>
          <w:sz w:val="24"/>
          <w:szCs w:val="24"/>
          <w:lang w:val="en-US" w:eastAsia="zh-CN"/>
        </w:rPr>
        <w:t>0</w:t>
      </w:r>
      <w:r>
        <w:rPr>
          <w:rFonts w:hint="eastAsia" w:ascii="宋体" w:hAnsi="宋体"/>
          <w:color w:val="auto"/>
          <w:sz w:val="24"/>
          <w:szCs w:val="24"/>
          <w:lang w:val="zh-CN"/>
        </w:rPr>
        <w:t>辆、主要领导干部用车</w:t>
      </w:r>
      <w:r>
        <w:rPr>
          <w:rFonts w:hint="eastAsia" w:ascii="宋体" w:hAnsi="宋体"/>
          <w:color w:val="auto"/>
          <w:sz w:val="24"/>
          <w:szCs w:val="24"/>
          <w:lang w:val="en-US" w:eastAsia="zh-CN"/>
        </w:rPr>
        <w:t>0</w:t>
      </w:r>
      <w:r>
        <w:rPr>
          <w:rFonts w:hint="eastAsia" w:ascii="宋体" w:hAnsi="宋体"/>
          <w:color w:val="auto"/>
          <w:sz w:val="24"/>
          <w:szCs w:val="24"/>
          <w:lang w:val="zh-CN"/>
        </w:rPr>
        <w:t>辆、机要通信用车</w:t>
      </w:r>
      <w:r>
        <w:rPr>
          <w:rFonts w:hint="eastAsia" w:ascii="宋体" w:hAnsi="宋体"/>
          <w:color w:val="auto"/>
          <w:sz w:val="24"/>
          <w:szCs w:val="24"/>
          <w:lang w:val="en-US" w:eastAsia="zh-CN"/>
        </w:rPr>
        <w:t>0</w:t>
      </w:r>
      <w:r>
        <w:rPr>
          <w:rFonts w:hint="eastAsia" w:ascii="宋体" w:hAnsi="宋体"/>
          <w:color w:val="auto"/>
          <w:sz w:val="24"/>
          <w:szCs w:val="24"/>
          <w:lang w:val="zh-CN"/>
        </w:rPr>
        <w:t>辆、应急保障用车</w:t>
      </w:r>
      <w:r>
        <w:rPr>
          <w:rFonts w:hint="eastAsia" w:ascii="宋体" w:hAnsi="宋体"/>
          <w:color w:val="auto"/>
          <w:sz w:val="24"/>
          <w:szCs w:val="24"/>
          <w:lang w:val="en-US" w:eastAsia="zh-CN"/>
        </w:rPr>
        <w:t>0</w:t>
      </w:r>
      <w:r>
        <w:rPr>
          <w:rFonts w:hint="eastAsia" w:ascii="宋体" w:hAnsi="宋体"/>
          <w:color w:val="auto"/>
          <w:sz w:val="24"/>
          <w:szCs w:val="24"/>
          <w:lang w:val="zh-CN"/>
        </w:rPr>
        <w:t>辆、执法执勤用车</w:t>
      </w:r>
      <w:r>
        <w:rPr>
          <w:rFonts w:hint="eastAsia" w:ascii="宋体" w:hAnsi="宋体"/>
          <w:color w:val="auto"/>
          <w:sz w:val="24"/>
          <w:szCs w:val="24"/>
          <w:lang w:val="en-US" w:eastAsia="zh-CN"/>
        </w:rPr>
        <w:t>0</w:t>
      </w:r>
      <w:r>
        <w:rPr>
          <w:rFonts w:hint="eastAsia" w:ascii="宋体" w:hAnsi="宋体"/>
          <w:color w:val="auto"/>
          <w:sz w:val="24"/>
          <w:szCs w:val="24"/>
          <w:lang w:val="zh-CN"/>
        </w:rPr>
        <w:t>辆,特种专业技术用车</w:t>
      </w:r>
      <w:r>
        <w:rPr>
          <w:rFonts w:hint="eastAsia" w:ascii="宋体" w:hAnsi="宋体"/>
          <w:color w:val="auto"/>
          <w:sz w:val="24"/>
          <w:szCs w:val="24"/>
          <w:lang w:val="en-US" w:eastAsia="zh-CN"/>
        </w:rPr>
        <w:t>0</w:t>
      </w:r>
      <w:r>
        <w:rPr>
          <w:rFonts w:hint="eastAsia" w:ascii="宋体" w:hAnsi="宋体"/>
          <w:color w:val="auto"/>
          <w:sz w:val="24"/>
          <w:szCs w:val="24"/>
          <w:lang w:val="zh-CN"/>
        </w:rPr>
        <w:t>辆,离退休干部用车</w:t>
      </w:r>
      <w:r>
        <w:rPr>
          <w:rFonts w:hint="eastAsia" w:ascii="宋体" w:hAnsi="宋体"/>
          <w:color w:val="auto"/>
          <w:sz w:val="24"/>
          <w:szCs w:val="24"/>
          <w:lang w:val="en-US" w:eastAsia="zh-CN"/>
        </w:rPr>
        <w:t>0</w:t>
      </w:r>
      <w:r>
        <w:rPr>
          <w:rFonts w:hint="eastAsia" w:ascii="宋体" w:hAnsi="宋体"/>
          <w:color w:val="auto"/>
          <w:sz w:val="24"/>
          <w:szCs w:val="24"/>
          <w:lang w:val="zh-CN"/>
        </w:rPr>
        <w:t>辆,其他用车</w:t>
      </w:r>
      <w:r>
        <w:rPr>
          <w:rFonts w:hint="eastAsia" w:ascii="宋体" w:hAnsi="宋体"/>
          <w:color w:val="auto"/>
          <w:sz w:val="24"/>
          <w:szCs w:val="24"/>
          <w:lang w:val="en-US" w:eastAsia="zh-CN"/>
        </w:rPr>
        <w:t>0</w:t>
      </w:r>
      <w:r>
        <w:rPr>
          <w:rFonts w:hint="eastAsia" w:ascii="宋体" w:hAnsi="宋体"/>
          <w:color w:val="auto"/>
          <w:sz w:val="24"/>
          <w:szCs w:val="24"/>
          <w:lang w:val="zh-CN"/>
        </w:rPr>
        <w:t>辆,其他用车</w:t>
      </w:r>
      <w:r>
        <w:rPr>
          <w:rFonts w:hint="eastAsia" w:ascii="宋体" w:hAnsi="宋体"/>
          <w:color w:val="FF0000"/>
          <w:sz w:val="24"/>
          <w:szCs w:val="24"/>
          <w:lang w:val="zh-CN"/>
        </w:rPr>
        <w:t>主要是用于</w:t>
      </w:r>
      <w:r>
        <w:rPr>
          <w:rFonts w:hint="eastAsia" w:ascii="宋体" w:hAnsi="宋体"/>
          <w:color w:val="FF0000"/>
          <w:sz w:val="24"/>
          <w:szCs w:val="24"/>
          <w:lang w:val="en-US" w:eastAsia="zh-CN"/>
        </w:rPr>
        <w:t>本单位无其他用车</w:t>
      </w:r>
      <w:r>
        <w:rPr>
          <w:rFonts w:hint="eastAsia" w:ascii="宋体" w:hAnsi="宋体"/>
          <w:color w:val="FF0000"/>
          <w:sz w:val="24"/>
          <w:szCs w:val="24"/>
          <w:lang w:val="zh-CN"/>
        </w:rPr>
        <w:t>。</w:t>
      </w:r>
      <w:r>
        <w:rPr>
          <w:rFonts w:hint="eastAsia" w:ascii="宋体" w:hAnsi="宋体"/>
          <w:color w:val="auto"/>
          <w:sz w:val="24"/>
          <w:szCs w:val="24"/>
          <w:lang w:val="zh-CN"/>
        </w:rPr>
        <w:t>单价100万元(含)以上设备</w:t>
      </w:r>
      <w:r>
        <w:rPr>
          <w:rFonts w:hint="eastAsia" w:ascii="宋体" w:hAnsi="宋体"/>
          <w:color w:val="auto"/>
          <w:sz w:val="24"/>
          <w:szCs w:val="24"/>
          <w:lang w:val="en-US" w:eastAsia="zh-CN"/>
        </w:rPr>
        <w:t>0</w:t>
      </w:r>
      <w:r>
        <w:rPr>
          <w:rFonts w:hint="eastAsia" w:ascii="宋体" w:hAnsi="宋体"/>
          <w:color w:val="auto"/>
          <w:sz w:val="24"/>
          <w:szCs w:val="24"/>
          <w:lang w:val="zh-CN"/>
        </w:rPr>
        <w:t>台(套)。</w:t>
      </w:r>
    </w:p>
    <w:p w14:paraId="4E39E72B">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14:paraId="0FFE263E">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14:paraId="2086D59E">
      <w:pPr>
        <w:spacing w:before="100" w:beforeLines="0" w:after="100" w:afterLines="0"/>
        <w:jc w:val="left"/>
        <w:rPr>
          <w:rFonts w:hint="eastAsia" w:ascii="宋体" w:hAnsi="宋体"/>
          <w:color w:val="FF0000"/>
          <w:sz w:val="24"/>
          <w:szCs w:val="24"/>
          <w:lang w:val="zh-CN"/>
        </w:rPr>
      </w:pPr>
    </w:p>
    <w:p w14:paraId="06E299F9">
      <w:pPr>
        <w:spacing w:before="100" w:beforeLines="0" w:after="100" w:afterLines="0"/>
        <w:jc w:val="left"/>
        <w:rPr>
          <w:rFonts w:hint="eastAsia" w:ascii="宋体" w:hAnsi="宋体"/>
          <w:color w:val="auto"/>
          <w:sz w:val="24"/>
          <w:szCs w:val="24"/>
          <w:lang w:val="zh-CN"/>
        </w:rPr>
      </w:pPr>
    </w:p>
    <w:p w14:paraId="09CC99F0">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14:paraId="0003A906">
      <w:pPr>
        <w:spacing w:before="100" w:beforeLines="0" w:after="100" w:afterLines="0"/>
        <w:jc w:val="left"/>
        <w:rPr>
          <w:rFonts w:hint="eastAsia" w:ascii="宋体" w:hAnsi="宋体"/>
          <w:color w:val="FF0000"/>
          <w:sz w:val="24"/>
          <w:szCs w:val="24"/>
          <w:lang w:val="zh-CN"/>
        </w:rPr>
      </w:pPr>
      <w:r>
        <w:rPr>
          <w:rFonts w:hint="eastAsia" w:ascii="宋体" w:hAnsi="宋体"/>
          <w:color w:val="FF0000"/>
          <w:sz w:val="24"/>
          <w:szCs w:val="24"/>
          <w:lang w:val="zh-CN"/>
        </w:rPr>
        <w:t>(若单位未开展绩效评价工作,请在此项下注明本单位未开展预算绩效管理,若有附件,请插入附件。)</w:t>
      </w:r>
    </w:p>
    <w:p w14:paraId="3ADC9119">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本单位未开展预算绩效管理</w:t>
      </w:r>
    </w:p>
    <w:p w14:paraId="67AB80B3">
      <w:pPr>
        <w:numPr>
          <w:ilvl w:val="0"/>
          <w:numId w:val="6"/>
        </w:num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预算绩效管理工作开展情况</w:t>
      </w:r>
    </w:p>
    <w:p w14:paraId="79A4F098">
      <w:pPr>
        <w:keepNext/>
        <w:keepLines/>
        <w:suppressLineNumbers/>
        <w:spacing w:beforeLines="0" w:afterLines="0"/>
        <w:ind w:firstLine="480" w:firstLineChars="200"/>
        <w:jc w:val="both"/>
        <w:rPr>
          <w:rFonts w:hint="eastAsia" w:ascii="仿宋_GB2312" w:hAnsi="仿宋_GB2312" w:eastAsia="仿宋_GB2312" w:cs="仿宋_GB2312"/>
          <w:color w:val="auto"/>
          <w:sz w:val="32"/>
          <w:szCs w:val="32"/>
          <w:lang w:val="zh-CN"/>
        </w:rPr>
      </w:pPr>
      <w:r>
        <w:rPr>
          <w:rFonts w:hint="eastAsia" w:ascii="宋体" w:hAnsi="宋体" w:eastAsia="宋体" w:cs="宋体"/>
          <w:color w:val="000000"/>
          <w:kern w:val="0"/>
          <w:sz w:val="24"/>
          <w:szCs w:val="24"/>
          <w:lang w:val="en-US"/>
        </w:rPr>
        <w:t>根据预算绩效管理要求,本部门对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年度一般公共预算项目支出全面开展绩效自评,其中,一级项目</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个,二级项目</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,占一般公共预算项目支出总额的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个政府性基金预算项目开展绩效自评,共涉及资金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,占政府性基金预算项目支出总额的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%。组织对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个国有资本经营预算项目开展绩效自评,共涉及资金</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,占国有资本经营预算项目支出总额的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%。组织对</w:t>
      </w:r>
      <w:r>
        <w:rPr>
          <w:rFonts w:hint="eastAsia" w:ascii="宋体" w:hAnsi="宋体" w:eastAsia="宋体" w:cs="宋体"/>
          <w:color w:val="FF0000"/>
          <w:kern w:val="0"/>
          <w:sz w:val="24"/>
          <w:szCs w:val="24"/>
          <w:lang w:val="en-US"/>
        </w:rPr>
        <w:t>“XXX”“XXX”</w:t>
      </w:r>
      <w:r>
        <w:rPr>
          <w:rFonts w:hint="eastAsia" w:ascii="宋体" w:hAnsi="宋体" w:eastAsia="宋体" w:cs="宋体"/>
          <w:color w:val="000000"/>
          <w:kern w:val="0"/>
          <w:sz w:val="24"/>
          <w:szCs w:val="24"/>
          <w:lang w:val="en-US"/>
        </w:rPr>
        <w:t>等</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个项目开展了部门评价,涉及一般公共预算支出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,政府性基金预算支出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,国有资本经营预算支出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。从评价情况来看,</w:t>
      </w:r>
      <w:r>
        <w:rPr>
          <w:rFonts w:hint="eastAsia" w:ascii="宋体" w:hAnsi="宋体" w:eastAsia="宋体" w:cs="宋体"/>
          <w:color w:val="FF0000"/>
          <w:kern w:val="0"/>
          <w:sz w:val="24"/>
          <w:szCs w:val="24"/>
          <w:lang w:val="en-US"/>
        </w:rPr>
        <w:t>……(请对绩效评价情况进行简要说明)。</w:t>
      </w:r>
    </w:p>
    <w:p w14:paraId="3EFD9744">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二、绩效自评结果</w:t>
      </w:r>
    </w:p>
    <w:p w14:paraId="76E75D37">
      <w:pPr>
        <w:keepNext/>
        <w:keepLines/>
        <w:suppressLineNumbers/>
        <w:spacing w:beforeLines="0" w:afterLines="0"/>
        <w:ind w:firstLine="360" w:firstLineChars="150"/>
        <w:jc w:val="both"/>
        <w:rPr>
          <w:rFonts w:hint="eastAsia"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lang w:val="en-US"/>
        </w:rPr>
        <w:t>我部门在</w:t>
      </w:r>
      <w:r>
        <w:rPr>
          <w:rFonts w:hint="eastAsia" w:ascii="宋体" w:hAnsi="宋体" w:eastAsia="宋体" w:cs="宋体"/>
          <w:color w:val="000000"/>
          <w:kern w:val="0"/>
          <w:sz w:val="24"/>
          <w:szCs w:val="24"/>
          <w:highlight w:val="none"/>
          <w:lang w:val="en-US" w:eastAsia="zh-CN"/>
        </w:rPr>
        <w:t>2023</w:t>
      </w:r>
      <w:r>
        <w:rPr>
          <w:rFonts w:hint="eastAsia" w:ascii="宋体" w:hAnsi="宋体" w:eastAsia="宋体" w:cs="宋体"/>
          <w:color w:val="000000"/>
          <w:kern w:val="0"/>
          <w:sz w:val="24"/>
          <w:szCs w:val="24"/>
          <w:highlight w:val="none"/>
          <w:lang w:val="en-US"/>
        </w:rPr>
        <w:t>年度部门决算中反映</w:t>
      </w:r>
      <w:r>
        <w:rPr>
          <w:rFonts w:hint="eastAsia" w:ascii="宋体" w:hAnsi="宋体" w:eastAsia="宋体" w:cs="宋体"/>
          <w:color w:val="FF0000"/>
          <w:kern w:val="0"/>
          <w:sz w:val="24"/>
          <w:szCs w:val="24"/>
          <w:highlight w:val="none"/>
          <w:lang w:val="en-US"/>
        </w:rPr>
        <w:t>XXX、XXX</w:t>
      </w:r>
      <w:r>
        <w:rPr>
          <w:rFonts w:hint="eastAsia" w:ascii="宋体" w:hAnsi="宋体" w:eastAsia="宋体" w:cs="宋体"/>
          <w:color w:val="000000"/>
          <w:kern w:val="0"/>
          <w:sz w:val="24"/>
          <w:szCs w:val="24"/>
          <w:highlight w:val="none"/>
          <w:lang w:val="en-US"/>
        </w:rPr>
        <w:t>等</w:t>
      </w:r>
      <w:r>
        <w:rPr>
          <w:rFonts w:hint="eastAsia" w:ascii="宋体" w:hAnsi="宋体" w:eastAsia="宋体" w:cs="宋体"/>
          <w:color w:val="FF0000"/>
          <w:kern w:val="0"/>
          <w:sz w:val="24"/>
          <w:szCs w:val="24"/>
          <w:highlight w:val="none"/>
          <w:lang w:val="en-US"/>
        </w:rPr>
        <w:t>XX</w:t>
      </w:r>
      <w:r>
        <w:rPr>
          <w:rFonts w:hint="eastAsia" w:ascii="宋体" w:hAnsi="宋体" w:eastAsia="宋体" w:cs="宋体"/>
          <w:color w:val="000000"/>
          <w:kern w:val="0"/>
          <w:sz w:val="24"/>
          <w:szCs w:val="24"/>
          <w:highlight w:val="none"/>
          <w:lang w:val="en-US"/>
        </w:rPr>
        <w:t>个项目绩效自评结果。</w:t>
      </w:r>
    </w:p>
    <w:p w14:paraId="52741F3F">
      <w:pPr>
        <w:keepNext/>
        <w:keepLines/>
        <w:suppressLineNumbers/>
        <w:spacing w:beforeLines="0" w:afterLines="0"/>
        <w:ind w:firstLine="480" w:firstLineChars="200"/>
        <w:jc w:val="both"/>
        <w:rPr>
          <w:rFonts w:hint="eastAsia" w:ascii="宋体" w:hAnsi="宋体" w:eastAsia="宋体" w:cs="宋体"/>
          <w:color w:val="FF0000"/>
          <w:kern w:val="0"/>
          <w:sz w:val="24"/>
          <w:szCs w:val="24"/>
          <w:lang w:val="en-US"/>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FF0000"/>
          <w:kern w:val="0"/>
          <w:sz w:val="24"/>
          <w:szCs w:val="24"/>
          <w:lang w:val="en-US"/>
        </w:rPr>
        <w:t>XXX</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kern w:val="0"/>
          <w:sz w:val="24"/>
          <w:szCs w:val="24"/>
          <w:lang w:val="en-US"/>
        </w:rPr>
        <w:t>项目绩效自评情况：根据年初设定的绩效目标,项目绩效自评得分为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%。项目绩效目标完成情况：</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发现的主要问题及原因：</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下一步改进措施：</w:t>
      </w:r>
      <w:r>
        <w:rPr>
          <w:rFonts w:hint="eastAsia" w:ascii="宋体" w:hAnsi="宋体" w:eastAsia="宋体" w:cs="宋体"/>
          <w:color w:val="FF0000"/>
          <w:kern w:val="0"/>
          <w:sz w:val="24"/>
          <w:szCs w:val="24"/>
          <w:lang w:val="en-US"/>
        </w:rPr>
        <w:t>一是……；二是……。XXX项目绩效自评情况：……。</w:t>
      </w:r>
    </w:p>
    <w:p w14:paraId="0B9DBDA2">
      <w:pPr>
        <w:keepNext/>
        <w:keepLines/>
        <w:suppressLineNumbers/>
        <w:spacing w:beforeLines="0" w:afterLines="0"/>
        <w:ind w:firstLine="480" w:firstLineChars="200"/>
        <w:jc w:val="both"/>
        <w:rPr>
          <w:rFonts w:hint="eastAsia" w:ascii="宋体" w:hAnsi="宋体" w:eastAsia="宋体" w:cs="宋体"/>
          <w:color w:val="FF0000"/>
          <w:kern w:val="0"/>
          <w:sz w:val="24"/>
          <w:szCs w:val="24"/>
          <w:lang w:val="en-US"/>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kern w:val="0"/>
          <w:sz w:val="24"/>
          <w:szCs w:val="24"/>
          <w:lang w:val="en-US" w:eastAsia="zh-CN"/>
        </w:rPr>
        <w:t>“</w:t>
      </w:r>
      <w:r>
        <w:rPr>
          <w:rFonts w:hint="eastAsia" w:ascii="宋体" w:hAnsi="宋体" w:eastAsia="宋体" w:cs="宋体"/>
          <w:color w:val="FF0000"/>
          <w:kern w:val="0"/>
          <w:sz w:val="24"/>
          <w:szCs w:val="24"/>
          <w:lang w:val="en-US"/>
        </w:rPr>
        <w:t>XXX</w:t>
      </w:r>
      <w:r>
        <w:rPr>
          <w:rFonts w:hint="eastAsia" w:ascii="宋体" w:hAnsi="宋体" w:eastAsia="宋体" w:cs="宋体"/>
          <w:color w:val="000000" w:themeColor="text1"/>
          <w:kern w:val="0"/>
          <w:sz w:val="24"/>
          <w:szCs w:val="24"/>
          <w:lang w:val="en-US" w:eastAsia="zh-CN"/>
          <w14:textFill>
            <w14:solidFill>
              <w14:schemeClr w14:val="tx1"/>
            </w14:solidFill>
          </w14:textFill>
        </w:rPr>
        <w:t>”项目</w:t>
      </w:r>
      <w:r>
        <w:rPr>
          <w:rFonts w:hint="eastAsia" w:ascii="宋体" w:hAnsi="宋体" w:eastAsia="宋体" w:cs="宋体"/>
          <w:color w:val="000000"/>
          <w:kern w:val="0"/>
          <w:sz w:val="24"/>
          <w:szCs w:val="24"/>
          <w:lang w:val="en-US"/>
        </w:rPr>
        <w:t>绩效自评情况：根据年初设定的绩效目标,项目绩效自评得分为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eastAsia="zh-CN"/>
        </w:rPr>
        <w:t>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FF0000"/>
          <w:kern w:val="0"/>
          <w:sz w:val="24"/>
          <w:szCs w:val="24"/>
          <w:lang w:val="en-US"/>
        </w:rPr>
        <w:t>XX</w:t>
      </w:r>
      <w:r>
        <w:rPr>
          <w:rFonts w:hint="eastAsia" w:ascii="宋体" w:hAnsi="宋体" w:eastAsia="宋体" w:cs="宋体"/>
          <w:color w:val="000000"/>
          <w:kern w:val="0"/>
          <w:sz w:val="24"/>
          <w:szCs w:val="24"/>
          <w:lang w:val="en-US"/>
        </w:rPr>
        <w:t>%。项目绩效目标完成情况：</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发现的主要问题及原因：</w:t>
      </w:r>
      <w:r>
        <w:rPr>
          <w:rFonts w:hint="eastAsia" w:ascii="宋体" w:hAnsi="宋体" w:eastAsia="宋体" w:cs="宋体"/>
          <w:color w:val="FF0000"/>
          <w:kern w:val="0"/>
          <w:sz w:val="24"/>
          <w:szCs w:val="24"/>
          <w:lang w:val="en-US"/>
        </w:rPr>
        <w:t>一是……；二是……。</w:t>
      </w:r>
      <w:r>
        <w:rPr>
          <w:rFonts w:hint="eastAsia" w:ascii="宋体" w:hAnsi="宋体" w:eastAsia="宋体" w:cs="宋体"/>
          <w:color w:val="000000"/>
          <w:kern w:val="0"/>
          <w:sz w:val="24"/>
          <w:szCs w:val="24"/>
          <w:lang w:val="en-US"/>
        </w:rPr>
        <w:t>下一步改进措施：</w:t>
      </w:r>
      <w:r>
        <w:rPr>
          <w:rFonts w:hint="eastAsia" w:ascii="宋体" w:hAnsi="宋体" w:eastAsia="宋体" w:cs="宋体"/>
          <w:color w:val="FF0000"/>
          <w:kern w:val="0"/>
          <w:sz w:val="24"/>
          <w:szCs w:val="24"/>
          <w:lang w:val="en-US"/>
        </w:rPr>
        <w:t>一是……；二是……。XXX项目绩效自评情况：……。</w:t>
      </w:r>
    </w:p>
    <w:p w14:paraId="6FC916BD">
      <w:pPr>
        <w:numPr>
          <w:ilvl w:val="0"/>
          <w:numId w:val="7"/>
        </w:num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部门绩效评价结果</w:t>
      </w:r>
    </w:p>
    <w:p w14:paraId="7A54793C">
      <w:pPr>
        <w:spacing w:before="100" w:after="100"/>
        <w:jc w:val="both"/>
        <w:rPr>
          <w:rFonts w:hint="eastAsia" w:ascii="宋体" w:hAnsi="宋体" w:eastAsia="宋体" w:cs="宋体"/>
          <w:color w:val="auto"/>
          <w:sz w:val="24"/>
          <w:szCs w:val="24"/>
          <w:lang w:val="zh-CN"/>
        </w:rPr>
      </w:pPr>
      <w:r>
        <w:rPr>
          <w:rFonts w:hint="eastAsia" w:ascii="宋体" w:hAnsi="宋体" w:eastAsia="宋体" w:cs="宋体"/>
          <w:color w:val="FF0000"/>
          <w:sz w:val="24"/>
          <w:szCs w:val="24"/>
          <w:lang w:val="zh-CN"/>
        </w:rPr>
        <w:t>主管部门需随决算公开部门评价(含委托第三方对部门政策或项目开展重点绩效评价的)报告或案例,可以附件形式附后。</w:t>
      </w:r>
    </w:p>
    <w:p w14:paraId="0158E9F1">
      <w:pPr>
        <w:numPr>
          <w:ilvl w:val="0"/>
          <w:numId w:val="0"/>
        </w:numPr>
        <w:spacing w:before="100" w:beforeLines="0" w:after="100" w:afterLines="0"/>
        <w:jc w:val="left"/>
        <w:rPr>
          <w:rFonts w:hint="eastAsia" w:ascii="宋体" w:hAnsi="宋体"/>
          <w:b/>
          <w:bCs/>
          <w:color w:val="auto"/>
          <w:sz w:val="24"/>
          <w:szCs w:val="24"/>
          <w:lang w:val="zh-CN" w:eastAsia="zh-CN"/>
        </w:rPr>
      </w:pPr>
    </w:p>
    <w:p w14:paraId="5B7127F2">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14:paraId="4AAE6F1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14:paraId="1AF780C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14:paraId="64687EEC">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14:paraId="31D4BAD6">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14:paraId="26072D8F">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14:paraId="6104A515">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14:paraId="20FF520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14:paraId="7C6F928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14:paraId="088853AA">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14:paraId="0D51E722">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14:paraId="2A786654">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14:paraId="1B2DB427">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37C21556">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34F20657">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14:paraId="0ACDEEEC">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4E34A"/>
    <w:multiLevelType w:val="singleLevel"/>
    <w:tmpl w:val="8194E34A"/>
    <w:lvl w:ilvl="0" w:tentative="0">
      <w:start w:val="3"/>
      <w:numFmt w:val="chineseCounting"/>
      <w:suff w:val="nothing"/>
      <w:lvlText w:val="%1、"/>
      <w:lvlJc w:val="left"/>
      <w:rPr>
        <w:rFonts w:hint="eastAsia"/>
      </w:rPr>
    </w:lvl>
  </w:abstractNum>
  <w:abstractNum w:abstractNumId="1">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2">
    <w:nsid w:val="0053208E"/>
    <w:multiLevelType w:val="singleLevel"/>
    <w:tmpl w:val="0053208E"/>
    <w:lvl w:ilvl="0" w:tentative="0">
      <w:start w:val="2"/>
      <w:numFmt w:val="chineseCounting"/>
      <w:suff w:val="nothing"/>
      <w:lvlText w:val="（%1）"/>
      <w:lvlJc w:val="left"/>
      <w:rPr>
        <w:rFonts w:hint="eastAsia"/>
      </w:rPr>
    </w:lvl>
  </w:abstractNum>
  <w:abstractNum w:abstractNumId="3">
    <w:nsid w:val="0621EF7C"/>
    <w:multiLevelType w:val="singleLevel"/>
    <w:tmpl w:val="0621EF7C"/>
    <w:lvl w:ilvl="0" w:tentative="0">
      <w:start w:val="1"/>
      <w:numFmt w:val="decimal"/>
      <w:lvlText w:val="%1."/>
      <w:lvlJc w:val="left"/>
      <w:pPr>
        <w:tabs>
          <w:tab w:val="left" w:pos="312"/>
        </w:tabs>
      </w:pPr>
    </w:lvl>
  </w:abstractNum>
  <w:abstractNum w:abstractNumId="4">
    <w:nsid w:val="28C97B1A"/>
    <w:multiLevelType w:val="singleLevel"/>
    <w:tmpl w:val="28C97B1A"/>
    <w:lvl w:ilvl="0" w:tentative="0">
      <w:start w:val="1"/>
      <w:numFmt w:val="chineseCounting"/>
      <w:suff w:val="nothing"/>
      <w:lvlText w:val="%1、"/>
      <w:lvlJc w:val="left"/>
      <w:rPr>
        <w:rFonts w:hint="eastAsia"/>
      </w:rPr>
    </w:lvl>
  </w:abstractNum>
  <w:abstractNum w:abstractNumId="5">
    <w:nsid w:val="378CAC09"/>
    <w:multiLevelType w:val="singleLevel"/>
    <w:tmpl w:val="378CAC09"/>
    <w:lvl w:ilvl="0" w:tentative="0">
      <w:start w:val="1"/>
      <w:numFmt w:val="chineseCounting"/>
      <w:suff w:val="nothing"/>
      <w:lvlText w:val="%1、"/>
      <w:lvlJc w:val="left"/>
      <w:rPr>
        <w:rFonts w:hint="eastAsia"/>
      </w:rPr>
    </w:lvl>
  </w:abstractNum>
  <w:abstractNum w:abstractNumId="6">
    <w:nsid w:val="59ADCABA"/>
    <w:multiLevelType w:val="singleLevel"/>
    <w:tmpl w:val="59ADCABA"/>
    <w:lvl w:ilvl="0" w:tentative="0">
      <w:start w:val="3"/>
      <w:numFmt w:val="decimal"/>
      <w:lvlText w:val="%1."/>
      <w:lvlJc w:val="left"/>
      <w:pPr>
        <w:tabs>
          <w:tab w:val="left" w:pos="312"/>
        </w:tabs>
      </w:pPr>
      <w:rPr>
        <w:rFonts w:hint="default"/>
        <w:color w:val="000000" w:themeColor="text1"/>
        <w14:textFill>
          <w14:solidFill>
            <w14:schemeClr w14:val="tx1"/>
          </w14:solidFill>
        </w14:textFill>
      </w:rPr>
    </w:lvl>
  </w:abstractNum>
  <w:num w:numId="1">
    <w:abstractNumId w:val="5"/>
  </w:num>
  <w:num w:numId="2">
    <w:abstractNumId w:val="2"/>
  </w:num>
  <w:num w:numId="3">
    <w:abstractNumId w:val="1"/>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yMTM4MGU0YmM4ODg0Njc5ODg2ZTBjYTIzZjE1NzIifQ=="/>
  </w:docVars>
  <w:rsids>
    <w:rsidRoot w:val="00000000"/>
    <w:rsid w:val="054C5DC2"/>
    <w:rsid w:val="13F806D8"/>
    <w:rsid w:val="36B34A16"/>
    <w:rsid w:val="380C4B68"/>
    <w:rsid w:val="46223B31"/>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9.xml"/><Relationship Id="rId28" Type="http://schemas.openxmlformats.org/officeDocument/2006/relationships/customXml" Target="../customXml/item8.xml"/><Relationship Id="rId27" Type="http://schemas.openxmlformats.org/officeDocument/2006/relationships/customXml" Target="../customXml/item7.xml"/><Relationship Id="rId26" Type="http://schemas.openxmlformats.org/officeDocument/2006/relationships/customXml" Target="../customXml/item6.xml"/><Relationship Id="rId25" Type="http://schemas.openxmlformats.org/officeDocument/2006/relationships/customXml" Target="../customXml/item5.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2024-08-09T09:53:21Z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3.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6.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9.xml><?xml version="1.0" encoding="utf-8"?>
<Properties xmlns:vt="http://schemas.openxmlformats.org/officeDocument/2006/docPropsVTypes" xmlns="http://schemas.openxmlformats.org/officeDocument/2006/extended-properties">
  <Template>Normal.dotm</Template>
  <TotalTime>1</TotalTime>
  <Pages>15</Pages>
  <Words>7172</Words>
  <Characters>19277</Characters>
  <Application>WPS Office_11.1.0.12980_F1E327BC-269C-435d-A152-05C5408002CA</Application>
  <DocSecurity>0</DocSecurity>
  <Lines>0</Lines>
  <Paragraphs>0</Paragraphs>
  <CharactersWithSpaces>19281</CharactersWithSpaces>
  <AppVersion>14.0000</AppVersion>
</Properties>
</file>

<file path=customXml/itemProps1.xml><?xml version="1.0" encoding="utf-8"?>
<ds:datastoreItem xmlns:ds="http://schemas.openxmlformats.org/officeDocument/2006/customXml" ds:itemID="{696e24eb-a20f-4aec-a7a3-71581190d2f2}">
  <ds:schemaRefs/>
</ds:datastoreItem>
</file>

<file path=customXml/itemProps2.xml><?xml version="1.0" encoding="utf-8"?>
<ds:datastoreItem xmlns:ds="http://schemas.openxmlformats.org/officeDocument/2006/customXml" ds:itemID="{6eed0a4b-e75a-4df4-a484-14464851c069}">
  <ds:schemaRefs/>
</ds:datastoreItem>
</file>

<file path=customXml/itemProps3.xml><?xml version="1.0" encoding="utf-8"?>
<ds:datastoreItem xmlns:ds="http://schemas.openxmlformats.org/officeDocument/2006/customXml" ds:itemID="{3d006eeb-3d18-4d72-a967-183c7a516323}">
  <ds:schemaRefs/>
</ds:datastoreItem>
</file>

<file path=customXml/itemProps4.xml><?xml version="1.0" encoding="utf-8"?>
<ds:datastoreItem xmlns:ds="http://schemas.openxmlformats.org/officeDocument/2006/customXml" ds:itemID="{8d8bd182-07e4-44f2-8dc8-f913a32db314}">
  <ds:schemaRefs/>
</ds:datastoreItem>
</file>

<file path=customXml/itemProps5.xml><?xml version="1.0" encoding="utf-8"?>
<ds:datastoreItem xmlns:ds="http://schemas.openxmlformats.org/officeDocument/2006/customXml" ds:itemID="{75e0c11a-87b2-412b-86aa-87f9b13c3248}">
  <ds:schemaRefs/>
</ds:datastoreItem>
</file>

<file path=customXml/itemProps6.xml><?xml version="1.0" encoding="utf-8"?>
<ds:datastoreItem xmlns:ds="http://schemas.openxmlformats.org/officeDocument/2006/customXml" ds:itemID="{fbb74843-07f2-4c13-b7ee-ca230793a3b2}">
  <ds:schemaRefs/>
</ds:datastoreItem>
</file>

<file path=customXml/itemProps7.xml><?xml version="1.0" encoding="utf-8"?>
<ds:datastoreItem xmlns:ds="http://schemas.openxmlformats.org/officeDocument/2006/customXml" ds:itemID="{7ee772ff-6b95-4614-aec9-f5aeaef52dcb}">
  <ds:schemaRefs/>
</ds:datastoreItem>
</file>

<file path=customXml/itemProps8.xml><?xml version="1.0" encoding="utf-8"?>
<ds:datastoreItem xmlns:ds="http://schemas.openxmlformats.org/officeDocument/2006/customXml" ds:itemID="{762bdd51-caac-4dc6-9190-74191fd30274}">
  <ds:schemaRefs/>
</ds:datastoreItem>
</file>

<file path=customXml/itemProps9.xml><?xml version="1.0" encoding="utf-8"?>
<ds:datastoreItem xmlns:ds="http://schemas.openxmlformats.org/officeDocument/2006/customXml" ds:itemID="{c5ad920e-2303-40bc-963d-d13a2b69e4a2}">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6604</Words>
  <Characters>7234</Characters>
  <Lines>0</Lines>
  <Paragraphs>0</Paragraphs>
  <TotalTime>0</TotalTime>
  <ScaleCrop>false</ScaleCrop>
  <LinksUpToDate>false</LinksUpToDate>
  <CharactersWithSpaces>7238</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放下</cp:lastModifiedBy>
  <dcterms:modified xsi:type="dcterms:W3CDTF">2024-08-17T09:48:22Z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38F2F087ABE84DF58CBE890E5FDC1725</vt:lpwstr>
  </property>
</Properties>
</file>