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东乡族自治县统计局部门决算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jc w:val="center"/>
        <w:textAlignment w:val="auto"/>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jc w:val="center"/>
        <w:textAlignment w:val="auto"/>
        <w:rPr>
          <w:rFonts w:hint="eastAsia" w:ascii="宋体" w:hAnsi="宋体"/>
          <w:sz w:val="24"/>
          <w:szCs w:val="24"/>
          <w:lang w:val="zh-CN"/>
        </w:rPr>
      </w:pPr>
      <w:r>
        <w:rPr>
          <w:rFonts w:hint="eastAsia" w:ascii="宋体" w:hAnsi="宋体"/>
          <w:b/>
          <w:sz w:val="24"/>
          <w:szCs w:val="24"/>
          <w:lang w:val="zh-CN"/>
        </w:rPr>
        <w:t>第一部分部门概况</w:t>
      </w:r>
    </w:p>
    <w:p>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sz w:val="24"/>
          <w:szCs w:val="24"/>
          <w:lang w:val="zh-CN"/>
        </w:rPr>
      </w:pPr>
      <w:r>
        <w:rPr>
          <w:rFonts w:hint="eastAsia" w:ascii="宋体" w:hAnsi="宋体"/>
          <w:sz w:val="24"/>
          <w:szCs w:val="24"/>
          <w:lang w:val="zh-CN"/>
        </w:rPr>
        <w:t>一、部门职责</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1.</w:t>
      </w:r>
      <w:r>
        <w:rPr>
          <w:rFonts w:hint="eastAsia" w:ascii="宋体" w:hAnsi="宋体"/>
          <w:color w:val="auto"/>
          <w:sz w:val="24"/>
          <w:szCs w:val="24"/>
          <w:lang w:val="zh-CN"/>
        </w:rPr>
        <w:t>贯彻落实党和国家的方针、政策、法律和法规，执行县委、县政府的各项决策部署，对县政府负责并报告工作。</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2.</w:t>
      </w:r>
      <w:r>
        <w:rPr>
          <w:rFonts w:hint="eastAsia" w:ascii="宋体" w:hAnsi="宋体"/>
          <w:color w:val="auto"/>
          <w:sz w:val="24"/>
          <w:szCs w:val="24"/>
          <w:lang w:val="zh-CN"/>
        </w:rPr>
        <w:t>执行国家统计标准和基本统计报告制度，完成统计调查任务。</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3.</w:t>
      </w:r>
      <w:r>
        <w:rPr>
          <w:rFonts w:hint="eastAsia" w:ascii="宋体" w:hAnsi="宋体"/>
          <w:color w:val="auto"/>
          <w:sz w:val="24"/>
          <w:szCs w:val="24"/>
          <w:lang w:val="zh-CN"/>
        </w:rPr>
        <w:t>会同有关部门开展国家组织的重大国情、国力普查调查，制定全县统计调查计划及调查方案。</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4.</w:t>
      </w:r>
      <w:r>
        <w:rPr>
          <w:rFonts w:hint="eastAsia" w:ascii="宋体" w:hAnsi="宋体"/>
          <w:color w:val="auto"/>
          <w:sz w:val="24"/>
          <w:szCs w:val="24"/>
          <w:lang w:val="zh-CN"/>
        </w:rPr>
        <w:t>搜集、整理、提供全县基本统计资料，并对全县各乡镇、各单位的执行情况及经济、社会、科技效益状况进行统计评估、统计分析、统计预测、统计监督，向县委、县政府及有关部门提供统计信息和咨询建议。</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5.</w:t>
      </w:r>
      <w:r>
        <w:rPr>
          <w:rFonts w:hint="eastAsia" w:ascii="宋体" w:hAnsi="宋体"/>
          <w:color w:val="auto"/>
          <w:sz w:val="24"/>
          <w:szCs w:val="24"/>
          <w:lang w:val="zh-CN"/>
        </w:rPr>
        <w:t>审定、管理、公布、印刷、发行全县基本统计资料，定期发布全县国民经济和社会发展情况的统计公报。</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6.</w:t>
      </w:r>
      <w:r>
        <w:rPr>
          <w:rFonts w:hint="eastAsia" w:ascii="宋体" w:hAnsi="宋体"/>
          <w:color w:val="auto"/>
          <w:sz w:val="24"/>
          <w:szCs w:val="24"/>
          <w:lang w:val="zh-CN"/>
        </w:rPr>
        <w:t>检查监督统计法规的实施，维护统计工作者的合法权利，揭露、追究、处理违犯统计法规的行为。</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7.</w:t>
      </w:r>
      <w:r>
        <w:rPr>
          <w:rFonts w:hint="eastAsia" w:ascii="宋体" w:hAnsi="宋体"/>
          <w:color w:val="auto"/>
          <w:sz w:val="24"/>
          <w:szCs w:val="24"/>
          <w:lang w:val="zh-CN"/>
        </w:rPr>
        <w:t>制定全县统计工作发展规划，建立和管理全县统计信息自动化建设和统计数据库。</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8.</w:t>
      </w:r>
      <w:r>
        <w:rPr>
          <w:rFonts w:hint="eastAsia" w:ascii="宋体" w:hAnsi="宋体"/>
          <w:color w:val="auto"/>
          <w:sz w:val="24"/>
          <w:szCs w:val="24"/>
          <w:lang w:val="zh-CN"/>
        </w:rPr>
        <w:t>组织开展统计咨询服务，承担有关统计调查任务，为社会各界提供优质服务。</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9.</w:t>
      </w:r>
      <w:r>
        <w:rPr>
          <w:rFonts w:hint="eastAsia" w:ascii="宋体" w:hAnsi="宋体"/>
          <w:color w:val="auto"/>
          <w:sz w:val="24"/>
          <w:szCs w:val="24"/>
          <w:lang w:val="zh-CN"/>
        </w:rPr>
        <w:t>组织开展统计数据的分析研判，为县委、县政府提供决策依据。</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10.</w:t>
      </w:r>
      <w:r>
        <w:rPr>
          <w:rFonts w:hint="eastAsia" w:ascii="宋体" w:hAnsi="宋体"/>
          <w:color w:val="auto"/>
          <w:sz w:val="24"/>
          <w:szCs w:val="24"/>
          <w:lang w:val="zh-CN"/>
        </w:rPr>
        <w:t>承办县委、县政府交办的其它事项。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rPr>
          <w:rFonts w:hint="default" w:eastAsia="宋体"/>
          <w:lang w:val="en-US" w:eastAsia="zh-CN"/>
        </w:rPr>
      </w:pPr>
      <w:r>
        <w:rPr>
          <w:rFonts w:hint="eastAsia" w:ascii="宋体" w:hAnsi="宋体"/>
          <w:b w:val="0"/>
          <w:bCs/>
          <w:color w:val="auto"/>
          <w:sz w:val="24"/>
          <w:szCs w:val="24"/>
          <w:lang w:val="en-US" w:eastAsia="zh-CN"/>
        </w:rPr>
        <w:t>东乡族自治县统计局内设</w:t>
      </w:r>
      <w:r>
        <w:rPr>
          <w:rFonts w:hint="eastAsia" w:ascii="宋体" w:hAnsi="宋体"/>
          <w:color w:val="auto"/>
          <w:sz w:val="24"/>
          <w:szCs w:val="24"/>
          <w:lang w:val="zh-CN"/>
        </w:rPr>
        <w:t>综合办公室、统计执法检查股、国民经济核算股、综合统计调查股、社会事业统计股</w:t>
      </w:r>
      <w:r>
        <w:rPr>
          <w:rFonts w:hint="eastAsia" w:ascii="宋体" w:hAnsi="宋体"/>
          <w:color w:val="auto"/>
          <w:sz w:val="24"/>
          <w:szCs w:val="24"/>
          <w:lang w:val="en-US" w:eastAsia="zh-CN"/>
        </w:rPr>
        <w:t>5个职能股室。</w:t>
      </w:r>
    </w:p>
    <w:p>
      <w:pPr>
        <w:tabs>
          <w:tab w:val="left" w:pos="448"/>
        </w:tabs>
        <w:spacing w:before="100" w:beforeLines="0" w:after="100" w:afterLines="0"/>
        <w:jc w:val="left"/>
        <w:rPr>
          <w:rFonts w:hint="default" w:ascii="宋体" w:hAnsi="宋体" w:eastAsia="宋体"/>
          <w:b w:val="0"/>
          <w:bCs/>
          <w:color w:val="auto"/>
          <w:sz w:val="24"/>
          <w:szCs w:val="24"/>
          <w:lang w:val="en-US" w:eastAsia="zh-CN"/>
        </w:rPr>
      </w:pPr>
      <w:bookmarkStart w:id="0" w:name="_GoBack"/>
      <w:bookmarkEnd w:id="0"/>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auto"/>
          <w:sz w:val="24"/>
          <w:szCs w:val="24"/>
          <w:lang w:val="zh-CN"/>
        </w:rPr>
      </w:pPr>
      <w:r>
        <w:rPr>
          <w:rFonts w:hint="eastAsia" w:ascii="宋体" w:hAnsi="宋体"/>
          <w:color w:val="auto"/>
          <w:sz w:val="24"/>
          <w:szCs w:val="24"/>
          <w:lang w:val="zh-CN"/>
        </w:rPr>
        <w:t>收入支出决算总表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见附件</w:t>
      </w: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646.11万元。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减少52.35万元,下降7.49%,主要原因是</w:t>
      </w:r>
      <w:r>
        <w:rPr>
          <w:rFonts w:hint="eastAsia" w:ascii="宋体" w:hAnsi="宋体"/>
          <w:color w:val="000000" w:themeColor="text1"/>
          <w:sz w:val="24"/>
          <w:szCs w:val="24"/>
          <w:lang w:val="en-US" w:eastAsia="zh-CN"/>
          <w14:textFill>
            <w14:solidFill>
              <w14:schemeClr w14:val="tx1"/>
            </w14:solidFill>
          </w14:textFill>
        </w:rPr>
        <w:t>本单位人员调出4人。</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2023年度收入合计640.91万元,其中：财政拨款收入634.08万元,占98.93%；</w:t>
      </w:r>
      <w:r>
        <w:rPr>
          <w:rFonts w:hint="eastAsia" w:ascii="宋体" w:hAnsi="宋体"/>
          <w:color w:val="000000" w:themeColor="text1"/>
          <w:sz w:val="24"/>
          <w:szCs w:val="24"/>
          <w:lang w:val="en-US"/>
          <w14:textFill>
            <w14:solidFill>
              <w14:schemeClr w14:val="tx1"/>
            </w14:solidFill>
          </w14:textFill>
        </w:rPr>
        <w:t>其他</w:t>
      </w:r>
      <w:r>
        <w:rPr>
          <w:rFonts w:hint="eastAsia" w:ascii="宋体" w:hAnsi="宋体"/>
          <w:color w:val="000000" w:themeColor="text1"/>
          <w:sz w:val="24"/>
          <w:szCs w:val="24"/>
          <w:lang w:val="zh-CN"/>
          <w14:textFill>
            <w14:solidFill>
              <w14:schemeClr w14:val="tx1"/>
            </w14:solidFill>
          </w14:textFill>
        </w:rPr>
        <w:t>收入6.83万元,占1.07%。</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2023年度支出合计645.96万元,其中：基本支出604.38万元,占93.56%；项目支出41.58万元,占6.44%。</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634.08万元。与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年相比,各减少55.28万元,下降8.02%。主要原因是</w:t>
      </w:r>
      <w:r>
        <w:rPr>
          <w:rFonts w:hint="eastAsia" w:ascii="宋体" w:hAnsi="宋体"/>
          <w:color w:val="000000" w:themeColor="text1"/>
          <w:sz w:val="24"/>
          <w:szCs w:val="24"/>
          <w:lang w:val="en-US" w:eastAsia="zh-CN"/>
          <w14:textFill>
            <w14:solidFill>
              <w14:schemeClr w14:val="tx1"/>
            </w14:solidFill>
          </w14:textFill>
        </w:rPr>
        <w:t>本单位人员调出4人</w:t>
      </w:r>
      <w:r>
        <w:rPr>
          <w:rFonts w:hint="eastAsia" w:ascii="宋体" w:hAnsi="宋体"/>
          <w:color w:val="000000" w:themeColor="text1"/>
          <w:sz w:val="24"/>
          <w:szCs w:val="24"/>
          <w:lang w:val="en-US" w:eastAsia="zh-CN"/>
          <w14:textFill>
            <w14:solidFill>
              <w14:schemeClr w14:val="tx1"/>
            </w14:solidFill>
          </w14:textFill>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2023年度一般公共预算财政拨款支出634.08万元,较上年决算数减少55.28万元,下降8.02%。主要原因是</w:t>
      </w:r>
      <w:r>
        <w:rPr>
          <w:rFonts w:hint="eastAsia" w:ascii="宋体" w:hAnsi="宋体"/>
          <w:color w:val="000000" w:themeColor="text1"/>
          <w:sz w:val="24"/>
          <w:szCs w:val="24"/>
          <w:lang w:val="en-US" w:eastAsia="zh-CN"/>
          <w14:textFill>
            <w14:solidFill>
              <w14:schemeClr w14:val="tx1"/>
            </w14:solidFill>
          </w14:textFill>
        </w:rPr>
        <w:t>本单位人员调出4人</w:t>
      </w:r>
      <w:r>
        <w:rPr>
          <w:rFonts w:hint="eastAsia" w:ascii="宋体" w:hAnsi="宋体"/>
          <w:color w:val="000000" w:themeColor="text1"/>
          <w:sz w:val="24"/>
          <w:szCs w:val="24"/>
          <w:lang w:val="en-US" w:eastAsia="zh-CN"/>
          <w14:textFill>
            <w14:solidFill>
              <w14:schemeClr w14:val="tx1"/>
            </w14:solidFill>
          </w14:textFill>
        </w:rPr>
        <w:t>。</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634.08万元，主要用于以下方面：一般公共服务支出511.66万元,占80.69%；社会保障和就业支出55.99万元,占8.83%；卫生健康支出21.57万元,占3.4%；农林水支出6.60万元,占1.04%；住房保障支出38.26万元,占6.03%。</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637.48万元,支出决算为634.08万元,完成年初预算的99.47%。其中：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年初预算数为516.67万元,支出决算为511.66万元,完成年初预算的99.03%,决算数小于预算数的主要原因是</w:t>
      </w:r>
      <w:r>
        <w:rPr>
          <w:rFonts w:hint="eastAsia" w:ascii="宋体" w:hAnsi="宋体"/>
          <w:color w:val="000000" w:themeColor="text1"/>
          <w:sz w:val="24"/>
          <w:szCs w:val="24"/>
          <w:lang w:val="en-US" w:eastAsia="zh-CN"/>
          <w14:textFill>
            <w14:solidFill>
              <w14:schemeClr w14:val="tx1"/>
            </w14:solidFill>
          </w14:textFill>
        </w:rPr>
        <w:t>本单位人员调出4人。</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年初预算数为56.68万元,支出决算为55.99万元,完成年初预算的98.79%,决算数小于预算数的主要原因是</w:t>
      </w:r>
      <w:r>
        <w:rPr>
          <w:rFonts w:hint="eastAsia" w:ascii="宋体" w:hAnsi="宋体"/>
          <w:color w:val="000000" w:themeColor="text1"/>
          <w:sz w:val="24"/>
          <w:szCs w:val="24"/>
          <w:lang w:val="en-US" w:eastAsia="zh-CN"/>
          <w14:textFill>
            <w14:solidFill>
              <w14:schemeClr w14:val="tx1"/>
            </w14:solidFill>
          </w14:textFill>
        </w:rPr>
        <w:t>本单位人员调出4人。</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年初预算数为22.89万元,支出决算为21.57万元,完成年初预算的94.24%,决算数小于预算数的主要原因是</w:t>
      </w:r>
      <w:r>
        <w:rPr>
          <w:rFonts w:hint="eastAsia" w:ascii="宋体" w:hAnsi="宋体"/>
          <w:color w:val="000000" w:themeColor="text1"/>
          <w:sz w:val="24"/>
          <w:szCs w:val="24"/>
          <w:lang w:val="en-US" w:eastAsia="zh-CN"/>
          <w14:textFill>
            <w14:solidFill>
              <w14:schemeClr w14:val="tx1"/>
            </w14:solidFill>
          </w14:textFill>
        </w:rPr>
        <w:t>本单位人员调出4人。</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．农林水支出</w:t>
      </w:r>
      <w:r>
        <w:rPr>
          <w:rFonts w:hint="eastAsia" w:ascii="宋体" w:hAnsi="宋体"/>
          <w:color w:val="000000" w:themeColor="text1"/>
          <w:sz w:val="24"/>
          <w:szCs w:val="24"/>
          <w:lang w:val="zh-CN"/>
          <w14:textFill>
            <w14:solidFill>
              <w14:schemeClr w14:val="tx1"/>
            </w14:solidFill>
          </w14:textFill>
        </w:rPr>
        <w:t>年初预算数为0.00万元,支出决算为6.60万元,完成年初预算的%,决算数大于预算数的主要原因是</w:t>
      </w:r>
      <w:r>
        <w:rPr>
          <w:rFonts w:hint="eastAsia" w:ascii="宋体" w:hAnsi="宋体"/>
          <w:color w:val="000000" w:themeColor="text1"/>
          <w:sz w:val="24"/>
          <w:szCs w:val="24"/>
          <w:lang w:val="en-US" w:eastAsia="zh-CN"/>
          <w14:textFill>
            <w14:solidFill>
              <w14:schemeClr w14:val="tx1"/>
            </w14:solidFill>
          </w14:textFill>
        </w:rPr>
        <w:t>驻村干部生活补助</w:t>
      </w:r>
      <w:r>
        <w:rPr>
          <w:rFonts w:hint="eastAsia" w:ascii="宋体" w:hAnsi="宋体"/>
          <w:color w:val="000000" w:themeColor="text1"/>
          <w:sz w:val="24"/>
          <w:szCs w:val="24"/>
          <w:lang w:val="zh-CN"/>
          <w14:textFill>
            <w14:solidFill>
              <w14:schemeClr w14:val="tx1"/>
            </w14:solidFill>
          </w14:textFill>
        </w:rPr>
        <w:t>支出</w:t>
      </w:r>
      <w:r>
        <w:rPr>
          <w:rFonts w:hint="eastAsia" w:ascii="宋体" w:hAnsi="宋体"/>
          <w:color w:val="000000" w:themeColor="text1"/>
          <w:sz w:val="24"/>
          <w:szCs w:val="24"/>
          <w:lang w:val="en-US" w:eastAsia="zh-CN"/>
          <w14:textFill>
            <w14:solidFill>
              <w14:schemeClr w14:val="tx1"/>
            </w14:solidFill>
          </w14:textFill>
        </w:rPr>
        <w:t>6.6万，纳入此项核算。</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年初预算数为41.24万元,支出决算为38.26万元,完成年初预算的92.77%,决算数小于预算数的主要原因是</w:t>
      </w:r>
      <w:r>
        <w:rPr>
          <w:rFonts w:hint="eastAsia" w:ascii="宋体" w:hAnsi="宋体"/>
          <w:color w:val="000000" w:themeColor="text1"/>
          <w:sz w:val="24"/>
          <w:szCs w:val="24"/>
          <w:lang w:val="en-US" w:eastAsia="zh-CN"/>
          <w14:textFill>
            <w14:solidFill>
              <w14:schemeClr w14:val="tx1"/>
            </w14:solidFill>
          </w14:textFill>
        </w:rPr>
        <w:t>本单位人员调出4人。</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2023年度一般公共预算财政拨款基本支出592.50万元。其中：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538.75万元,较上年决算数减少70.26万元,下降11.54%,主要原因是</w:t>
      </w:r>
      <w:r>
        <w:rPr>
          <w:rFonts w:hint="eastAsia" w:ascii="宋体" w:hAnsi="宋体"/>
          <w:color w:val="000000" w:themeColor="text1"/>
          <w:sz w:val="24"/>
          <w:szCs w:val="24"/>
          <w:lang w:val="en-US" w:eastAsia="zh-CN"/>
          <w14:textFill>
            <w14:solidFill>
              <w14:schemeClr w14:val="tx1"/>
            </w14:solidFill>
          </w14:textFill>
        </w:rPr>
        <w:t>本单位人员调出4人。</w:t>
      </w:r>
      <w:r>
        <w:rPr>
          <w:rFonts w:hint="eastAsia" w:ascii="宋体" w:hAnsi="宋体"/>
          <w:color w:val="000000" w:themeColor="text1"/>
          <w:sz w:val="24"/>
          <w:szCs w:val="24"/>
          <w:lang w:val="zh-CN"/>
          <w14:textFill>
            <w14:solidFill>
              <w14:schemeClr w14:val="tx1"/>
            </w14:solidFill>
          </w14:textFill>
        </w:rPr>
        <w:t>人员经费用途主要包括基本工资、津贴补贴、奖金、社会保障缴费、住房公积金。</w:t>
      </w:r>
    </w:p>
    <w:p>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53.76万元,较上年决算数增加10.32万元,增长23.73%,主要原因是</w:t>
      </w:r>
      <w:r>
        <w:rPr>
          <w:rFonts w:hint="eastAsia" w:ascii="宋体" w:hAnsi="宋体"/>
          <w:color w:val="000000" w:themeColor="text1"/>
          <w:sz w:val="24"/>
          <w:szCs w:val="24"/>
          <w:lang w:val="en-US" w:eastAsia="zh-CN"/>
          <w14:textFill>
            <w14:solidFill>
              <w14:schemeClr w14:val="tx1"/>
            </w14:solidFill>
          </w14:textFill>
        </w:rPr>
        <w:t>第五次全国经济普查前期宣传和培训增加了本年的公用经费</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公用经费用途主要包括办公费、印刷费、电费、差旅费、租赁费、劳务费、 其他交通费用。</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本</w:t>
      </w:r>
      <w:r>
        <w:rPr>
          <w:rFonts w:hint="eastAsia" w:ascii="宋体" w:hAnsi="宋体"/>
          <w:color w:val="000000" w:themeColor="text1"/>
          <w:sz w:val="24"/>
          <w:szCs w:val="24"/>
          <w:lang w:val="zh-CN"/>
          <w14:textFill>
            <w14:solidFill>
              <w14:schemeClr w14:val="tx1"/>
            </w14:solidFill>
          </w14:textFill>
        </w:rPr>
        <w:t>单位属于</w:t>
      </w:r>
      <w:r>
        <w:rPr>
          <w:rFonts w:hint="eastAsia" w:ascii="宋体" w:hAnsi="宋体"/>
          <w:color w:val="000000" w:themeColor="text1"/>
          <w:sz w:val="24"/>
          <w:szCs w:val="24"/>
          <w:lang w:val="en-US" w:eastAsia="zh-CN"/>
          <w14:textFill>
            <w14:solidFill>
              <w14:schemeClr w14:val="tx1"/>
            </w14:solidFill>
          </w14:textFill>
        </w:rPr>
        <w:t>政府机关单位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pPr>
        <w:spacing w:before="100" w:beforeLines="0" w:after="100" w:afterLines="0"/>
        <w:jc w:val="left"/>
        <w:rPr>
          <w:rFonts w:hint="eastAsia" w:ascii="宋体" w:hAns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(一)</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经费财政拨款支出总体情况说明</w:t>
      </w:r>
    </w:p>
    <w:p>
      <w:pPr>
        <w:numPr>
          <w:ilvl w:val="0"/>
          <w:numId w:val="0"/>
        </w:numPr>
        <w:spacing w:before="100" w:beforeLines="0" w:after="100" w:afterLines="0"/>
        <w:jc w:val="left"/>
        <w:rPr>
          <w:rFonts w:hint="eastAsia" w:ascii="Times New Roman" w:hAnsi="Times New Roman" w:eastAsia="Times New Roman"/>
          <w:b/>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p>
    <w:p>
      <w:pPr>
        <w:numPr>
          <w:ilvl w:val="0"/>
          <w:numId w:val="0"/>
        </w:numPr>
        <w:spacing w:before="100" w:beforeLines="0" w:after="100" w:afterLines="0"/>
        <w:jc w:val="left"/>
        <w:rPr>
          <w:rFonts w:hint="eastAsia" w:ascii="宋体" w:hAnsi="宋体"/>
          <w:b/>
          <w:color w:val="000000" w:themeColor="text1"/>
          <w:sz w:val="24"/>
          <w:szCs w:val="24"/>
          <w:lang w:val="zh-CN"/>
          <w14:textFill>
            <w14:solidFill>
              <w14:schemeClr w14:val="tx1"/>
            </w14:solidFill>
          </w14:textFill>
        </w:rPr>
      </w:pPr>
      <w:r>
        <w:rPr>
          <w:rFonts w:hint="eastAsia" w:ascii="Times New Roman" w:hAnsi="Times New Roman" w:eastAsia="Times New Roman"/>
          <w:b/>
          <w:color w:val="000000" w:themeColor="text1"/>
          <w:sz w:val="24"/>
          <w:szCs w:val="24"/>
          <w:lang w:val="zh-CN"/>
          <w14:textFill>
            <w14:solidFill>
              <w14:schemeClr w14:val="tx1"/>
            </w14:solidFill>
          </w14:textFill>
        </w:rPr>
        <w:t>（</w:t>
      </w:r>
      <w:r>
        <w:rPr>
          <w:rFonts w:hint="eastAsia" w:ascii="Times New Roman" w:hAnsi="Times New Roman" w:eastAsia="宋体"/>
          <w:b/>
          <w:color w:val="000000" w:themeColor="text1"/>
          <w:sz w:val="24"/>
          <w:szCs w:val="24"/>
          <w:lang w:val="en-US" w:eastAsia="zh-CN"/>
          <w14:textFill>
            <w14:solidFill>
              <w14:schemeClr w14:val="tx1"/>
            </w14:solidFill>
          </w14:textFill>
        </w:rPr>
        <w:t>二</w:t>
      </w:r>
      <w:r>
        <w:rPr>
          <w:rFonts w:hint="eastAsia" w:ascii="Times New Roman" w:hAnsi="Times New Roman" w:eastAsia="Times New Roman"/>
          <w:b/>
          <w:color w:val="000000" w:themeColor="text1"/>
          <w:sz w:val="24"/>
          <w:szCs w:val="24"/>
          <w:lang w:val="zh-CN"/>
          <w14:textFill>
            <w14:solidFill>
              <w14:schemeClr w14:val="tx1"/>
            </w14:solidFill>
          </w14:textFill>
        </w:rPr>
        <w:t>）</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经费财政拨款支出决算具体情况说明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因公出国(境)费用</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公务用车购置及运行维护费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其中：公务用车购置费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b w:val="0"/>
          <w:bCs w:val="0"/>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b w:val="0"/>
          <w:bCs w:val="0"/>
          <w:color w:val="000000" w:themeColor="text1"/>
          <w:sz w:val="24"/>
          <w:szCs w:val="24"/>
          <w:lang w:val="zh-CN"/>
          <w14:textFill>
            <w14:solidFill>
              <w14:schemeClr w14:val="tx1"/>
            </w14:solidFill>
          </w14:textFill>
        </w:rPr>
        <w:t>。</w:t>
      </w:r>
    </w:p>
    <w:p>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公务接待费</w:t>
      </w:r>
      <w:r>
        <w:rPr>
          <w:rFonts w:hint="eastAsia" w:ascii="宋体" w:hAnsi="宋体"/>
          <w:color w:val="000000" w:themeColor="text1"/>
          <w:sz w:val="24"/>
          <w:szCs w:val="24"/>
          <w:lang w:val="en-US"/>
          <w14:textFill>
            <w14:solidFill>
              <w14:schemeClr w14:val="tx1"/>
            </w14:solidFill>
          </w14:textFill>
        </w:rPr>
        <w:t>全</w:t>
      </w:r>
      <w:r>
        <w:rPr>
          <w:rFonts w:hint="eastAsia" w:ascii="宋体" w:hAnsi="宋体"/>
          <w:color w:val="000000" w:themeColor="text1"/>
          <w:sz w:val="24"/>
          <w:szCs w:val="24"/>
          <w:lang w:val="zh-CN"/>
          <w14:textFill>
            <w14:solidFill>
              <w14:schemeClr w14:val="tx1"/>
            </w14:solidFill>
          </w14:textFill>
        </w:rPr>
        <w:t>年预算数为0.00万元,支出决算为0.00万元</w:t>
      </w:r>
      <w:r>
        <w:rPr>
          <w:rFonts w:hint="eastAsia" w:ascii="宋体" w:hAnsi="宋体"/>
          <w:b w:val="0"/>
          <w:bCs w:val="0"/>
          <w:color w:val="000000" w:themeColor="text1"/>
          <w:sz w:val="24"/>
          <w:szCs w:val="24"/>
          <w:lang w:val="zh-CN"/>
          <w14:textFill>
            <w14:solidFill>
              <w14:schemeClr w14:val="tx1"/>
            </w14:solidFill>
          </w14:textFill>
        </w:rPr>
        <w:t>。</w:t>
      </w:r>
    </w:p>
    <w:p>
      <w:pPr>
        <w:numPr>
          <w:ilvl w:val="0"/>
          <w:numId w:val="0"/>
        </w:num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外事接待费支出0.00万元。</w:t>
      </w:r>
    </w:p>
    <w:p>
      <w:pPr>
        <w:numPr>
          <w:ilvl w:val="0"/>
          <w:numId w:val="0"/>
        </w:numPr>
        <w:spacing w:before="100" w:beforeLines="0" w:after="100" w:afterLines="0"/>
        <w:jc w:val="left"/>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其他国内公务接待支出0.00</w:t>
      </w:r>
      <w:r>
        <w:rPr>
          <w:rFonts w:hint="eastAsia" w:ascii="宋体" w:hAnsi="宋体"/>
          <w:color w:val="000000" w:themeColor="text1"/>
          <w:sz w:val="24"/>
          <w:szCs w:val="24"/>
          <w:lang w:val="zh-CN"/>
          <w14:textFill>
            <w14:solidFill>
              <w14:schemeClr w14:val="tx1"/>
            </w14:solidFill>
          </w14:textFill>
        </w:rPr>
        <w:t>万元。</w:t>
      </w:r>
    </w:p>
    <w:p>
      <w:pPr>
        <w:numPr>
          <w:ilvl w:val="0"/>
          <w:numId w:val="0"/>
        </w:numPr>
        <w:spacing w:before="100" w:beforeLines="0" w:after="100" w:afterLines="0"/>
        <w:ind w:leftChars="0"/>
        <w:jc w:val="left"/>
        <w:rPr>
          <w:rFonts w:hint="eastAsia" w:ascii="宋体" w:hAnsi="宋体"/>
          <w:b/>
          <w:color w:val="000000" w:themeColor="text1"/>
          <w:sz w:val="24"/>
          <w:szCs w:val="24"/>
          <w:lang w:val="zh-CN"/>
          <w14:textFill>
            <w14:solidFill>
              <w14:schemeClr w14:val="tx1"/>
            </w14:solidFill>
          </w14:textFill>
        </w:rPr>
      </w:pPr>
      <w:r>
        <w:rPr>
          <w:rFonts w:hint="eastAsia" w:ascii="Times New Roman" w:hAnsi="Times New Roman" w:eastAsia="Times New Roman"/>
          <w:b/>
          <w:color w:val="000000" w:themeColor="text1"/>
          <w:sz w:val="24"/>
          <w:szCs w:val="24"/>
          <w:lang w:val="zh-CN"/>
          <w14:textFill>
            <w14:solidFill>
              <w14:schemeClr w14:val="tx1"/>
            </w14:solidFill>
          </w14:textFill>
        </w:rPr>
        <w:t>（</w:t>
      </w:r>
      <w:r>
        <w:rPr>
          <w:rFonts w:hint="eastAsia" w:ascii="Times New Roman" w:hAnsi="Times New Roman" w:eastAsia="宋体"/>
          <w:b/>
          <w:color w:val="000000" w:themeColor="text1"/>
          <w:sz w:val="24"/>
          <w:szCs w:val="24"/>
          <w:lang w:val="en-US" w:eastAsia="zh-CN"/>
          <w14:textFill>
            <w14:solidFill>
              <w14:schemeClr w14:val="tx1"/>
            </w14:solidFill>
          </w14:textFill>
        </w:rPr>
        <w:t>三</w:t>
      </w:r>
      <w:r>
        <w:rPr>
          <w:rFonts w:hint="eastAsia" w:ascii="Times New Roman" w:hAnsi="Times New Roman" w:eastAsia="Times New Roman"/>
          <w:b/>
          <w:color w:val="000000" w:themeColor="text1"/>
          <w:sz w:val="24"/>
          <w:szCs w:val="24"/>
          <w:lang w:val="zh-CN"/>
          <w14:textFill>
            <w14:solidFill>
              <w14:schemeClr w14:val="tx1"/>
            </w14:solidFill>
          </w14:textFill>
        </w:rPr>
        <w:t>）</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经费财政拨款支出决算实物量情况</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w:t>
      </w:r>
      <w:r>
        <w:rPr>
          <w:rFonts w:hint="eastAsia" w:ascii="宋体" w:hAnsi="宋体"/>
          <w:b/>
          <w:color w:val="000000" w:themeColor="text1"/>
          <w:sz w:val="24"/>
          <w:szCs w:val="24"/>
          <w:lang w:val="zh-CN"/>
          <w14:textFill>
            <w14:solidFill>
              <w14:schemeClr w14:val="tx1"/>
            </w14:solidFill>
          </w14:textFill>
        </w:rPr>
        <w:t>因公出国(境)</w:t>
      </w:r>
      <w:r>
        <w:rPr>
          <w:rFonts w:hint="eastAsia" w:ascii="宋体" w:hAnsi="宋体"/>
          <w:color w:val="000000" w:themeColor="text1"/>
          <w:sz w:val="24"/>
          <w:szCs w:val="24"/>
          <w:lang w:val="zh-CN"/>
          <w14:textFill>
            <w14:solidFill>
              <w14:schemeClr w14:val="tx1"/>
            </w14:solidFill>
          </w14:textFill>
        </w:rPr>
        <w:t>共计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个团组,</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公务用车购置</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公务用车保有量</w:t>
      </w:r>
      <w:r>
        <w:rPr>
          <w:rFonts w:hint="eastAsia" w:ascii="宋体" w:hAnsi="宋体"/>
          <w:color w:val="000000" w:themeColor="text1"/>
          <w:sz w:val="24"/>
          <w:szCs w:val="24"/>
          <w:lang w:val="zh-CN"/>
          <w14:textFill>
            <w14:solidFill>
              <w14:schemeClr w14:val="tx1"/>
            </w14:solidFill>
          </w14:textFill>
        </w:rPr>
        <w:t>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国内公务接待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人,其中：</w:t>
      </w:r>
      <w:r>
        <w:rPr>
          <w:rFonts w:hint="eastAsia" w:ascii="宋体" w:hAnsi="宋体"/>
          <w:b/>
          <w:color w:val="000000" w:themeColor="text1"/>
          <w:sz w:val="24"/>
          <w:szCs w:val="24"/>
          <w:lang w:val="zh-CN"/>
          <w14:textFill>
            <w14:solidFill>
              <w14:schemeClr w14:val="tx1"/>
            </w14:solidFill>
          </w14:textFill>
        </w:rPr>
        <w:t>外事接待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批次,人；</w:t>
      </w:r>
      <w:r>
        <w:rPr>
          <w:rFonts w:hint="eastAsia" w:ascii="宋体" w:hAnsi="宋体"/>
          <w:b/>
          <w:color w:val="000000" w:themeColor="text1"/>
          <w:sz w:val="24"/>
          <w:szCs w:val="24"/>
          <w:lang w:val="zh-CN"/>
          <w14:textFill>
            <w14:solidFill>
              <w14:schemeClr w14:val="tx1"/>
            </w14:solidFill>
          </w14:textFill>
        </w:rPr>
        <w:t>国(境)外公务接待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2023年度本部门机关运行经费支出53.76万元,机关运行经费主要用于开支办公费、印刷费、水费、电费、差旅费、租赁费、劳务费、工会经费、 其他交通费用。机关运行经费较上年决算数增加10.31万元,增长23.73%,主要原因是</w:t>
      </w:r>
      <w:r>
        <w:rPr>
          <w:rFonts w:hint="eastAsia" w:ascii="宋体" w:hAnsi="宋体"/>
          <w:color w:val="000000" w:themeColor="text1"/>
          <w:sz w:val="24"/>
          <w:szCs w:val="24"/>
          <w:lang w:val="en-US" w:eastAsia="zh-CN"/>
          <w14:textFill>
            <w14:solidFill>
              <w14:schemeClr w14:val="tx1"/>
            </w14:solidFill>
          </w14:textFill>
        </w:rPr>
        <w:t>第五次全国经济普查前期宣传和培训增加了本年的运行经费。</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本年度会议费支出0.00万元,较上年决算数减少0.0万元,下降%,。本年度培训费支出0.00万元,较上年决算数减少0.0万元,下降%。</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我单位2023年度无政府采购相关经费。</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辆,其中,副部(省)级及以上领导用车</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辆、主要领导干部用车</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辆、机要通信用车</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辆、应急保障用车</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辆、执法执勤用车</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辆,特种专业技术用车</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辆,离退休干部用车</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辆,其他用车</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辆。单价100万元(含)以上设备1台(套)。</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pPr>
        <w:numPr>
          <w:ilvl w:val="0"/>
          <w:numId w:val="3"/>
        </w:num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预算绩效管理工作开展情况</w:t>
      </w:r>
    </w:p>
    <w:p>
      <w:pPr>
        <w:numPr>
          <w:ilvl w:val="0"/>
          <w:numId w:val="0"/>
        </w:num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本单位未开展预算绩效管理。</w:t>
      </w:r>
    </w:p>
    <w:p>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pPr>
        <w:spacing w:before="100" w:beforeLines="0" w:after="100" w:afterLines="0"/>
        <w:jc w:val="both"/>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w:t>
      </w:r>
      <w:r>
        <w:rPr>
          <w:rFonts w:hint="eastAsia" w:ascii="宋体" w:hAnsi="宋体" w:eastAsia="宋体" w:cs="宋体"/>
          <w:color w:val="000000" w:themeColor="text1"/>
          <w:sz w:val="24"/>
          <w:szCs w:val="24"/>
          <w:lang w:val="zh-CN"/>
          <w14:textFill>
            <w14:solidFill>
              <w14:schemeClr w14:val="tx1"/>
            </w14:solidFill>
          </w14:textFill>
        </w:rPr>
        <w:t>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w:t>
      </w:r>
      <w:r>
        <w:rPr>
          <w:rFonts w:hint="eastAsia" w:ascii="宋体" w:hAnsi="宋体" w:cs="宋体"/>
          <w:b/>
          <w:color w:val="000000" w:themeColor="text1"/>
          <w:sz w:val="24"/>
          <w:szCs w:val="24"/>
          <w:lang w:val="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指社会保险基金补助（包括养老保险、医疗保险、失业保险、工伤保险和生育保险等）和就业补助。</w:t>
      </w:r>
    </w:p>
    <w:p>
      <w:pPr>
        <w:spacing w:before="100" w:beforeLines="0" w:after="100" w:afterLines="0"/>
        <w:jc w:val="both"/>
        <w:rPr>
          <w:rFonts w:hint="eastAsia"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十五、</w:t>
      </w:r>
      <w:r>
        <w:rPr>
          <w:rFonts w:hint="eastAsia" w:ascii="宋体" w:hAnsi="宋体" w:eastAsia="宋体" w:cs="宋体"/>
          <w:b/>
          <w:color w:val="000000" w:themeColor="text1"/>
          <w:sz w:val="24"/>
          <w:szCs w:val="24"/>
          <w:lang w:val="zh-CN"/>
          <w14:textFill>
            <w14:solidFill>
              <w14:schemeClr w14:val="tx1"/>
            </w14:solidFill>
          </w14:textFill>
        </w:rPr>
        <w:t>行政事业单位养老支出</w:t>
      </w:r>
      <w:r>
        <w:rPr>
          <w:rFonts w:hint="eastAsia" w:ascii="宋体" w:hAnsi="宋体" w:cs="宋体"/>
          <w:b/>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反映</w:t>
      </w:r>
      <w:r>
        <w:rPr>
          <w:rFonts w:hint="eastAsia" w:ascii="宋体" w:hAnsi="宋体" w:cs="宋体"/>
          <w:color w:val="000000" w:themeColor="text1"/>
          <w:sz w:val="24"/>
          <w:szCs w:val="24"/>
          <w:lang w:val="en-US" w:eastAsia="zh-CN"/>
          <w14:textFill>
            <w14:solidFill>
              <w14:schemeClr w14:val="tx1"/>
            </w14:solidFill>
          </w14:textFill>
        </w:rPr>
        <w:t>行政事业</w:t>
      </w:r>
      <w:r>
        <w:rPr>
          <w:rFonts w:hint="eastAsia" w:ascii="宋体" w:hAnsi="宋体" w:eastAsia="宋体" w:cs="宋体"/>
          <w:color w:val="000000" w:themeColor="text1"/>
          <w:sz w:val="24"/>
          <w:szCs w:val="24"/>
          <w:lang w:val="zh-CN"/>
          <w14:textFill>
            <w14:solidFill>
              <w14:schemeClr w14:val="tx1"/>
            </w14:solidFill>
          </w14:textFill>
        </w:rPr>
        <w:t>单位实施养老保险制度由单位缴纳的基本养老保险支出。</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十六、</w:t>
      </w:r>
      <w:r>
        <w:rPr>
          <w:rFonts w:hint="eastAsia" w:ascii="宋体" w:hAnsi="宋体" w:eastAsia="宋体" w:cs="宋体"/>
          <w:b/>
          <w:color w:val="000000" w:themeColor="text1"/>
          <w:sz w:val="24"/>
          <w:szCs w:val="24"/>
          <w:lang w:val="zh-CN"/>
          <w14:textFill>
            <w14:solidFill>
              <w14:schemeClr w14:val="tx1"/>
            </w14:solidFill>
          </w14:textFill>
        </w:rPr>
        <w:t>机关事业单位基本养老保险缴费支出：</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45CDEF"/>
    <w:multiLevelType w:val="singleLevel"/>
    <w:tmpl w:val="E545CDEF"/>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6CE0E74E"/>
    <w:multiLevelType w:val="singleLevel"/>
    <w:tmpl w:val="6CE0E74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4114</Words>
  <Characters>4508</Characters>
  <Lines>0</Lines>
  <Paragraphs>0</Paragraphs>
  <TotalTime>0</TotalTime>
  <ScaleCrop>false</ScaleCrop>
  <LinksUpToDate>false</LinksUpToDate>
  <CharactersWithSpaces>4514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2023-07-20T11:33:00Z</dcterms:created>
  <dc:creator>O.L.Problem without you</dc:creator>
  <cp:lastModifiedBy>iPhone</cp:lastModifiedBy>
  <dcterms:modified xsi:type="dcterms:W3CDTF">2024-09-06T12:46:36Z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2052-12.16.0</vt:lpwstr>
  </property>
  <property fmtid="{D5CDD505-2E9C-101B-9397-08002B2CF9AE}" pid="3" name="ICV">
    <vt:lpwstr>E06D266F13EA4024808CEEADBAD91186_11</vt:lpwstr>
  </property>
</Properties>
</file>