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43225C">
      <w:pPr>
        <w:spacing w:before="100" w:beforeLines="0" w:after="100" w:afterLines="0"/>
        <w:jc w:val="center"/>
        <w:rPr>
          <w:rFonts w:hint="eastAsia" w:ascii="宋体" w:hAnsi="宋体"/>
          <w:sz w:val="24"/>
          <w:szCs w:val="24"/>
          <w:lang w:val="zh-CN"/>
        </w:rPr>
      </w:pPr>
    </w:p>
    <w:p w14:paraId="416BBEF5">
      <w:pPr>
        <w:spacing w:before="100" w:beforeLines="0" w:after="100" w:afterLines="0"/>
        <w:jc w:val="center"/>
        <w:rPr>
          <w:rFonts w:hint="eastAsia" w:ascii="宋体" w:hAnsi="宋体"/>
          <w:sz w:val="24"/>
          <w:szCs w:val="24"/>
          <w:lang w:val="zh-CN"/>
        </w:rPr>
      </w:pPr>
    </w:p>
    <w:p w14:paraId="26395F18">
      <w:pPr>
        <w:spacing w:before="100" w:beforeLines="0" w:after="100" w:afterLines="0"/>
        <w:jc w:val="center"/>
        <w:rPr>
          <w:rFonts w:hint="eastAsia" w:ascii="宋体" w:hAnsi="宋体"/>
          <w:sz w:val="24"/>
          <w:szCs w:val="24"/>
          <w:lang w:val="zh-CN"/>
        </w:rPr>
      </w:pPr>
    </w:p>
    <w:p w14:paraId="1CF30716">
      <w:pPr>
        <w:spacing w:before="100" w:beforeLines="0" w:after="100" w:afterLines="0"/>
        <w:jc w:val="center"/>
        <w:rPr>
          <w:rFonts w:hint="eastAsia" w:ascii="宋体" w:hAnsi="宋体"/>
          <w:sz w:val="24"/>
          <w:szCs w:val="24"/>
          <w:lang w:val="zh-CN"/>
        </w:rPr>
      </w:pPr>
    </w:p>
    <w:p w14:paraId="666D3029">
      <w:pPr>
        <w:spacing w:before="100" w:beforeLines="0" w:after="100" w:afterLines="0"/>
        <w:jc w:val="center"/>
        <w:rPr>
          <w:rFonts w:hint="eastAsia" w:ascii="宋体" w:hAnsi="宋体"/>
          <w:sz w:val="24"/>
          <w:szCs w:val="24"/>
          <w:lang w:val="zh-CN"/>
        </w:rPr>
      </w:pPr>
    </w:p>
    <w:p w14:paraId="610076CE">
      <w:pPr>
        <w:spacing w:before="100" w:beforeLines="0" w:after="100" w:afterLines="0"/>
        <w:jc w:val="center"/>
        <w:rPr>
          <w:rFonts w:hint="eastAsia" w:ascii="宋体" w:hAnsi="宋体"/>
          <w:sz w:val="24"/>
          <w:szCs w:val="24"/>
          <w:lang w:val="zh-CN"/>
        </w:rPr>
      </w:pPr>
    </w:p>
    <w:p w14:paraId="4DBE615C">
      <w:pPr>
        <w:spacing w:before="100" w:beforeLines="0" w:after="100" w:afterLines="0"/>
        <w:jc w:val="center"/>
        <w:rPr>
          <w:rFonts w:hint="eastAsia" w:ascii="宋体" w:hAnsi="宋体"/>
          <w:sz w:val="24"/>
          <w:szCs w:val="24"/>
          <w:lang w:val="zh-CN"/>
        </w:rPr>
      </w:pPr>
    </w:p>
    <w:p w14:paraId="349880EC">
      <w:pPr>
        <w:spacing w:before="100" w:beforeLines="0" w:after="100" w:afterLines="0"/>
        <w:jc w:val="center"/>
        <w:rPr>
          <w:rFonts w:hint="eastAsia" w:ascii="宋体" w:hAnsi="宋体"/>
          <w:sz w:val="24"/>
          <w:szCs w:val="24"/>
          <w:lang w:val="zh-CN"/>
        </w:rPr>
      </w:pPr>
    </w:p>
    <w:p w14:paraId="251E53A1">
      <w:pPr>
        <w:spacing w:before="100" w:beforeLines="0" w:after="100" w:afterLines="0"/>
        <w:jc w:val="center"/>
        <w:rPr>
          <w:rFonts w:hint="eastAsia" w:ascii="宋体" w:hAnsi="宋体"/>
          <w:sz w:val="24"/>
          <w:szCs w:val="24"/>
          <w:lang w:val="zh-CN"/>
        </w:rPr>
      </w:pPr>
    </w:p>
    <w:p w14:paraId="60838760">
      <w:pPr>
        <w:spacing w:before="100" w:beforeLines="0" w:after="100" w:afterLines="0"/>
        <w:jc w:val="center"/>
        <w:rPr>
          <w:rFonts w:hint="eastAsia" w:ascii="宋体" w:hAnsi="宋体"/>
          <w:sz w:val="24"/>
          <w:szCs w:val="24"/>
          <w:lang w:val="zh-CN"/>
        </w:rPr>
      </w:pPr>
    </w:p>
    <w:p w14:paraId="4877FFE6">
      <w:pPr>
        <w:spacing w:before="100" w:beforeLines="0" w:after="100" w:afterLines="0"/>
        <w:jc w:val="center"/>
        <w:rPr>
          <w:rFonts w:hint="eastAsia" w:ascii="宋体" w:hAnsi="宋体"/>
          <w:sz w:val="24"/>
          <w:szCs w:val="24"/>
          <w:lang w:val="zh-CN"/>
        </w:rPr>
      </w:pPr>
    </w:p>
    <w:p w14:paraId="2BCF3E96">
      <w:pPr>
        <w:spacing w:before="100" w:beforeLines="0" w:after="100" w:afterLines="0"/>
        <w:jc w:val="center"/>
        <w:rPr>
          <w:rFonts w:hint="eastAsia" w:ascii="宋体" w:hAnsi="宋体"/>
          <w:sz w:val="24"/>
          <w:szCs w:val="24"/>
          <w:lang w:val="zh-CN"/>
        </w:rPr>
      </w:pPr>
    </w:p>
    <w:p w14:paraId="57264E2A">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2023年度</w:t>
      </w:r>
    </w:p>
    <w:p w14:paraId="16C2AC34">
      <w:pPr>
        <w:spacing w:before="100" w:beforeLines="0" w:after="100" w:afterLines="0"/>
        <w:jc w:val="center"/>
        <w:rPr>
          <w:rFonts w:hint="eastAsia" w:ascii="宋体" w:hAnsi="宋体"/>
          <w:sz w:val="24"/>
          <w:szCs w:val="24"/>
          <w:lang w:val="zh-CN"/>
        </w:rPr>
      </w:pPr>
      <w:r>
        <w:rPr>
          <w:rFonts w:hint="eastAsia" w:ascii="宋体" w:hAnsi="宋体"/>
          <w:sz w:val="24"/>
          <w:szCs w:val="24"/>
          <w:lang w:val="zh-CN"/>
        </w:rPr>
        <w:t>东乡族自治县苗苗幼儿园部门决算</w:t>
      </w:r>
    </w:p>
    <w:p w14:paraId="3921AE9D">
      <w:pPr>
        <w:spacing w:before="100" w:beforeLines="0" w:after="100" w:afterLines="0"/>
        <w:jc w:val="center"/>
        <w:rPr>
          <w:rFonts w:hint="eastAsia" w:ascii="宋体" w:hAnsi="宋体"/>
          <w:sz w:val="24"/>
          <w:szCs w:val="24"/>
          <w:lang w:val="zh-CN"/>
        </w:rPr>
      </w:pPr>
    </w:p>
    <w:p w14:paraId="12F3097C">
      <w:pPr>
        <w:spacing w:before="100" w:beforeLines="0" w:after="100" w:afterLines="0"/>
        <w:jc w:val="center"/>
        <w:rPr>
          <w:rFonts w:hint="eastAsia" w:ascii="宋体" w:hAnsi="宋体"/>
          <w:sz w:val="24"/>
          <w:szCs w:val="24"/>
          <w:lang w:val="zh-CN"/>
        </w:rPr>
      </w:pPr>
    </w:p>
    <w:p w14:paraId="1F111AD2">
      <w:pPr>
        <w:spacing w:before="100" w:beforeLines="0" w:after="100" w:afterLines="0"/>
        <w:jc w:val="center"/>
        <w:rPr>
          <w:rFonts w:hint="eastAsia" w:ascii="宋体" w:hAnsi="宋体"/>
          <w:sz w:val="24"/>
          <w:szCs w:val="24"/>
          <w:lang w:val="zh-CN"/>
        </w:rPr>
      </w:pPr>
    </w:p>
    <w:p w14:paraId="0705C0CB">
      <w:pPr>
        <w:spacing w:before="100" w:beforeLines="0" w:after="100" w:afterLines="0"/>
        <w:jc w:val="center"/>
        <w:rPr>
          <w:rFonts w:hint="eastAsia" w:ascii="宋体" w:hAnsi="宋体"/>
          <w:sz w:val="24"/>
          <w:szCs w:val="24"/>
          <w:lang w:val="zh-CN"/>
        </w:rPr>
      </w:pPr>
    </w:p>
    <w:p w14:paraId="78AC5360">
      <w:pPr>
        <w:spacing w:before="100" w:beforeLines="0" w:after="100" w:afterLines="0"/>
        <w:jc w:val="center"/>
        <w:rPr>
          <w:rFonts w:hint="eastAsia" w:ascii="宋体" w:hAnsi="宋体"/>
          <w:sz w:val="24"/>
          <w:szCs w:val="24"/>
          <w:lang w:val="zh-CN"/>
        </w:rPr>
      </w:pPr>
    </w:p>
    <w:p w14:paraId="7C8319B8">
      <w:pPr>
        <w:spacing w:before="100" w:beforeLines="0" w:after="100" w:afterLines="0"/>
        <w:jc w:val="center"/>
        <w:rPr>
          <w:rFonts w:hint="eastAsia" w:ascii="宋体" w:hAnsi="宋体"/>
          <w:sz w:val="24"/>
          <w:szCs w:val="24"/>
          <w:lang w:val="zh-CN"/>
        </w:rPr>
      </w:pPr>
    </w:p>
    <w:p w14:paraId="09D2BD02">
      <w:pPr>
        <w:spacing w:before="100" w:beforeLines="0" w:after="100" w:afterLines="0"/>
        <w:jc w:val="center"/>
        <w:rPr>
          <w:rFonts w:hint="eastAsia" w:ascii="宋体" w:hAnsi="宋体"/>
          <w:sz w:val="24"/>
          <w:szCs w:val="24"/>
          <w:lang w:val="zh-CN"/>
        </w:rPr>
      </w:pPr>
    </w:p>
    <w:p w14:paraId="7D719D4A">
      <w:pPr>
        <w:spacing w:before="100" w:beforeLines="0" w:after="100" w:afterLines="0"/>
        <w:jc w:val="center"/>
        <w:rPr>
          <w:rFonts w:hint="eastAsia" w:ascii="宋体" w:hAnsi="宋体"/>
          <w:sz w:val="24"/>
          <w:szCs w:val="24"/>
          <w:lang w:val="zh-CN"/>
        </w:rPr>
      </w:pPr>
    </w:p>
    <w:p w14:paraId="2C82E76E">
      <w:pPr>
        <w:spacing w:before="100" w:beforeLines="0" w:after="100" w:afterLines="0"/>
        <w:jc w:val="center"/>
        <w:rPr>
          <w:rFonts w:hint="eastAsia" w:ascii="宋体" w:hAnsi="宋体"/>
          <w:sz w:val="24"/>
          <w:szCs w:val="24"/>
          <w:lang w:val="zh-CN"/>
        </w:rPr>
      </w:pPr>
    </w:p>
    <w:p w14:paraId="7C2B31D8">
      <w:pPr>
        <w:spacing w:before="100" w:beforeLines="0" w:after="100" w:afterLines="0"/>
        <w:jc w:val="center"/>
        <w:rPr>
          <w:rFonts w:hint="eastAsia" w:ascii="宋体" w:hAnsi="宋体"/>
          <w:sz w:val="24"/>
          <w:szCs w:val="24"/>
          <w:lang w:val="zh-CN"/>
        </w:rPr>
      </w:pPr>
    </w:p>
    <w:p w14:paraId="33F44FD1">
      <w:pPr>
        <w:spacing w:before="100" w:beforeLines="0" w:after="100" w:afterLines="0"/>
        <w:jc w:val="center"/>
        <w:rPr>
          <w:rFonts w:hint="eastAsia" w:ascii="宋体" w:hAnsi="宋体"/>
          <w:sz w:val="24"/>
          <w:szCs w:val="24"/>
          <w:lang w:val="zh-CN"/>
        </w:rPr>
      </w:pPr>
    </w:p>
    <w:p w14:paraId="0DA9C4A3">
      <w:pPr>
        <w:spacing w:before="100" w:beforeLines="0" w:after="100" w:afterLines="0"/>
        <w:jc w:val="center"/>
        <w:rPr>
          <w:rFonts w:hint="eastAsia" w:ascii="宋体" w:hAnsi="宋体"/>
          <w:sz w:val="24"/>
          <w:szCs w:val="24"/>
          <w:lang w:val="zh-CN"/>
        </w:rPr>
      </w:pPr>
    </w:p>
    <w:p w14:paraId="6F4142F1">
      <w:pPr>
        <w:spacing w:before="100" w:beforeLines="0" w:after="100" w:afterLines="0"/>
        <w:jc w:val="center"/>
        <w:rPr>
          <w:rFonts w:hint="eastAsia" w:ascii="宋体" w:hAnsi="宋体"/>
          <w:sz w:val="24"/>
          <w:szCs w:val="24"/>
          <w:lang w:val="zh-CN"/>
        </w:rPr>
      </w:pPr>
    </w:p>
    <w:p w14:paraId="13301531">
      <w:pPr>
        <w:spacing w:before="100" w:beforeLines="0" w:after="100" w:afterLines="0"/>
        <w:jc w:val="center"/>
        <w:rPr>
          <w:rFonts w:hint="eastAsia" w:ascii="宋体" w:hAnsi="宋体"/>
          <w:sz w:val="24"/>
          <w:szCs w:val="24"/>
          <w:lang w:val="zh-CN"/>
        </w:rPr>
      </w:pPr>
    </w:p>
    <w:p w14:paraId="3A1FFF27">
      <w:pPr>
        <w:spacing w:before="100" w:beforeLines="0" w:after="100" w:afterLines="0"/>
        <w:jc w:val="center"/>
        <w:rPr>
          <w:rFonts w:hint="eastAsia" w:ascii="宋体" w:hAnsi="宋体"/>
          <w:sz w:val="24"/>
          <w:szCs w:val="24"/>
          <w:lang w:val="zh-CN"/>
        </w:rPr>
      </w:pPr>
    </w:p>
    <w:p w14:paraId="154A30D4">
      <w:pPr>
        <w:spacing w:before="100" w:beforeLines="0" w:after="100" w:afterLines="0"/>
        <w:jc w:val="center"/>
        <w:rPr>
          <w:rFonts w:hint="eastAsia" w:ascii="宋体" w:hAnsi="宋体"/>
          <w:sz w:val="24"/>
          <w:szCs w:val="24"/>
          <w:lang w:val="zh-CN"/>
        </w:rPr>
      </w:pPr>
    </w:p>
    <w:p w14:paraId="44E6C351">
      <w:pPr>
        <w:spacing w:before="100" w:beforeLines="0" w:after="100" w:afterLines="0"/>
        <w:jc w:val="center"/>
        <w:rPr>
          <w:rFonts w:hint="eastAsia" w:ascii="宋体" w:hAnsi="宋体"/>
          <w:sz w:val="24"/>
          <w:szCs w:val="24"/>
          <w:lang w:val="zh-CN"/>
        </w:rPr>
      </w:pPr>
    </w:p>
    <w:p w14:paraId="4B984ECB">
      <w:pPr>
        <w:spacing w:before="100" w:beforeLines="0" w:after="100" w:afterLines="0"/>
        <w:jc w:val="center"/>
        <w:rPr>
          <w:rFonts w:hint="eastAsia" w:ascii="宋体" w:hAnsi="宋体"/>
          <w:sz w:val="24"/>
          <w:szCs w:val="24"/>
          <w:lang w:val="zh-CN"/>
        </w:rPr>
      </w:pPr>
    </w:p>
    <w:p w14:paraId="698A1DE5">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目录</w:t>
      </w:r>
    </w:p>
    <w:p w14:paraId="200F2B09">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第一部分部门概况</w:t>
      </w:r>
    </w:p>
    <w:p w14:paraId="6FD9EBB2">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14:paraId="348B510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二、机构设置</w:t>
      </w:r>
    </w:p>
    <w:p w14:paraId="1520A95F">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第二部分2023年度部门决算表</w:t>
      </w:r>
    </w:p>
    <w:p w14:paraId="5B87B7CE">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一、收入支出决算总表</w:t>
      </w:r>
    </w:p>
    <w:p w14:paraId="6FF63BB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二、收入决算表</w:t>
      </w:r>
    </w:p>
    <w:p w14:paraId="516A2A9E">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三、支出决算表</w:t>
      </w:r>
    </w:p>
    <w:p w14:paraId="5789542B">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四、财政拨款收入支出决算总表</w:t>
      </w:r>
    </w:p>
    <w:p w14:paraId="2007C5A9">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五、一般公共预算财政拨款支出决算表</w:t>
      </w:r>
    </w:p>
    <w:p w14:paraId="6D04FEE6">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六、一般公共预算财政拨款基本支出决算明细表</w:t>
      </w:r>
    </w:p>
    <w:p w14:paraId="17335920">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七、政府性基金预算财政拨款收入支出决算表</w:t>
      </w:r>
    </w:p>
    <w:p w14:paraId="46353070">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八、国有资本经营预算财政拨款支出决算表</w:t>
      </w:r>
    </w:p>
    <w:p w14:paraId="09315D38">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经费支出决算表</w:t>
      </w:r>
    </w:p>
    <w:p w14:paraId="08B8F68D">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第三部分2023年度部门决算情况说明</w:t>
      </w:r>
    </w:p>
    <w:p w14:paraId="7CA52297">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一、收入支出决算总体情况说明</w:t>
      </w:r>
    </w:p>
    <w:p w14:paraId="6C56EF9E">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二、收入决算情况说明</w:t>
      </w:r>
    </w:p>
    <w:p w14:paraId="394F4220">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三、支出决算情况说明</w:t>
      </w:r>
    </w:p>
    <w:p w14:paraId="1E895573">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四、财政拨款收入支出决算总体情况说明</w:t>
      </w:r>
    </w:p>
    <w:p w14:paraId="5E9A7EDD">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五、一般公共预算财政拨款支出决算情况说明</w:t>
      </w:r>
    </w:p>
    <w:p w14:paraId="576D13DA">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六、一般公共预算财政拨款基本支出决算情况说明</w:t>
      </w:r>
    </w:p>
    <w:p w14:paraId="4FF17178">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七、政府性基金预算财政拨款收支决算情况说明</w:t>
      </w:r>
    </w:p>
    <w:p w14:paraId="6FBBEF30">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八、国有资本经营预算财政拨款支出情况说明</w:t>
      </w:r>
    </w:p>
    <w:p w14:paraId="37E10E27">
      <w:pPr>
        <w:spacing w:before="100" w:beforeLines="0" w:after="100" w:afterLines="0"/>
        <w:jc w:val="left"/>
        <w:rPr>
          <w:rFonts w:hint="eastAsia" w:ascii="宋体" w:hAnsi="宋体"/>
          <w:sz w:val="24"/>
          <w:szCs w:val="24"/>
          <w:lang w:val="en-US" w:eastAsia="zh-CN"/>
        </w:rPr>
      </w:pPr>
      <w:r>
        <w:rPr>
          <w:rFonts w:hint="eastAsia" w:ascii="宋体" w:hAnsi="宋体"/>
          <w:sz w:val="24"/>
          <w:szCs w:val="24"/>
          <w:lang w:val="zh-CN"/>
        </w:rPr>
        <w:t>九、财政拨款</w:t>
      </w:r>
      <w:r>
        <w:rPr>
          <w:rFonts w:hint="default" w:ascii="宋体" w:hAnsi="宋体"/>
          <w:sz w:val="24"/>
          <w:szCs w:val="24"/>
          <w:lang w:val="zh-CN"/>
        </w:rPr>
        <w:t>“</w:t>
      </w:r>
      <w:r>
        <w:rPr>
          <w:rFonts w:hint="eastAsia" w:ascii="宋体" w:hAnsi="宋体"/>
          <w:sz w:val="24"/>
          <w:szCs w:val="24"/>
          <w:lang w:val="zh-CN"/>
        </w:rPr>
        <w:t>三公</w:t>
      </w:r>
      <w:r>
        <w:rPr>
          <w:rFonts w:hint="default" w:ascii="宋体" w:hAnsi="宋体"/>
          <w:sz w:val="24"/>
          <w:szCs w:val="24"/>
          <w:lang w:val="zh-CN"/>
        </w:rPr>
        <w:t>”</w:t>
      </w:r>
      <w:r>
        <w:rPr>
          <w:rFonts w:hint="eastAsia" w:ascii="宋体" w:hAnsi="宋体"/>
          <w:sz w:val="24"/>
          <w:szCs w:val="24"/>
          <w:lang w:val="zh-CN"/>
        </w:rPr>
        <w:t>经费支出决算情况说明</w:t>
      </w:r>
    </w:p>
    <w:p w14:paraId="0C6FBD74">
      <w:pPr>
        <w:spacing w:before="100" w:beforeLines="0" w:after="100" w:afterLines="0"/>
        <w:jc w:val="left"/>
        <w:rPr>
          <w:rFonts w:hint="default" w:ascii="宋体" w:hAnsi="宋体" w:eastAsia="宋体"/>
          <w:sz w:val="24"/>
          <w:szCs w:val="24"/>
          <w:lang w:val="en-US" w:eastAsia="zh-CN"/>
        </w:rPr>
      </w:pPr>
      <w:r>
        <w:rPr>
          <w:rFonts w:hint="eastAsia" w:ascii="宋体" w:hAnsi="宋体"/>
          <w:sz w:val="24"/>
          <w:szCs w:val="24"/>
          <w:lang w:val="zh-CN"/>
        </w:rPr>
        <w:t>十、机关运行经费支出情况说明</w:t>
      </w:r>
    </w:p>
    <w:p w14:paraId="43860BF9">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十一、政府采购支出情况说明</w:t>
      </w:r>
    </w:p>
    <w:p w14:paraId="5AB1AEE5">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十二、国有资产占用情况说明</w:t>
      </w:r>
    </w:p>
    <w:p w14:paraId="7FE08350">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十三、其他需要说明的情况</w:t>
      </w:r>
    </w:p>
    <w:p w14:paraId="0B8C1818">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第四部分预算绩效情况说明</w:t>
      </w:r>
    </w:p>
    <w:p w14:paraId="36DF4CD7">
      <w:pPr>
        <w:spacing w:before="100" w:beforeLines="0" w:after="100" w:afterLines="0"/>
        <w:jc w:val="left"/>
        <w:rPr>
          <w:rFonts w:hint="eastAsia" w:ascii="宋体" w:hAnsi="宋体"/>
          <w:sz w:val="24"/>
          <w:szCs w:val="24"/>
          <w:lang w:val="zh-CN"/>
        </w:rPr>
      </w:pPr>
      <w:r>
        <w:rPr>
          <w:rFonts w:hint="eastAsia" w:ascii="宋体" w:hAnsi="宋体"/>
          <w:b/>
          <w:sz w:val="24"/>
          <w:szCs w:val="24"/>
          <w:lang w:val="zh-CN"/>
        </w:rPr>
        <w:t>第五部分名词解释</w:t>
      </w:r>
    </w:p>
    <w:p w14:paraId="3917C875">
      <w:pPr>
        <w:spacing w:before="100" w:beforeLines="0" w:after="100" w:afterLines="0"/>
        <w:jc w:val="center"/>
        <w:rPr>
          <w:rFonts w:hint="eastAsia" w:ascii="宋体" w:hAnsi="宋体"/>
          <w:sz w:val="24"/>
          <w:szCs w:val="24"/>
          <w:lang w:val="zh-CN"/>
        </w:rPr>
      </w:pPr>
    </w:p>
    <w:p w14:paraId="21C7DD75">
      <w:pPr>
        <w:spacing w:before="100" w:beforeLines="0" w:after="100" w:afterLines="0"/>
        <w:jc w:val="center"/>
        <w:rPr>
          <w:rFonts w:hint="eastAsia" w:ascii="宋体" w:hAnsi="宋体"/>
          <w:sz w:val="24"/>
          <w:szCs w:val="24"/>
          <w:lang w:val="zh-CN"/>
        </w:rPr>
      </w:pPr>
    </w:p>
    <w:p w14:paraId="059DF7B5">
      <w:pPr>
        <w:spacing w:before="100" w:beforeLines="0" w:after="100" w:afterLines="0"/>
        <w:jc w:val="center"/>
        <w:rPr>
          <w:rFonts w:hint="eastAsia" w:ascii="宋体" w:hAnsi="宋体"/>
          <w:sz w:val="24"/>
          <w:szCs w:val="24"/>
          <w:lang w:val="zh-CN"/>
        </w:rPr>
      </w:pPr>
    </w:p>
    <w:p w14:paraId="6F50BE59">
      <w:pPr>
        <w:spacing w:before="100" w:beforeLines="0" w:after="100" w:afterLines="0"/>
        <w:jc w:val="both"/>
        <w:rPr>
          <w:rFonts w:hint="eastAsia" w:ascii="宋体" w:hAnsi="宋体"/>
          <w:sz w:val="24"/>
          <w:szCs w:val="24"/>
          <w:lang w:val="zh-CN"/>
        </w:rPr>
      </w:pPr>
    </w:p>
    <w:p w14:paraId="4FA5EEFC">
      <w:pPr>
        <w:spacing w:before="100" w:beforeLines="0" w:after="100" w:afterLines="0"/>
        <w:jc w:val="center"/>
        <w:rPr>
          <w:rFonts w:hint="eastAsia" w:ascii="宋体" w:hAnsi="宋体"/>
          <w:sz w:val="24"/>
          <w:szCs w:val="24"/>
          <w:lang w:val="zh-CN"/>
        </w:rPr>
      </w:pPr>
    </w:p>
    <w:p w14:paraId="27B78AEB">
      <w:pPr>
        <w:spacing w:before="100" w:beforeLines="0" w:after="100" w:afterLines="0"/>
        <w:jc w:val="center"/>
        <w:rPr>
          <w:rFonts w:hint="eastAsia" w:ascii="宋体" w:hAnsi="宋体"/>
          <w:sz w:val="24"/>
          <w:szCs w:val="24"/>
          <w:lang w:val="zh-CN"/>
        </w:rPr>
      </w:pPr>
      <w:r>
        <w:rPr>
          <w:rFonts w:hint="eastAsia" w:ascii="宋体" w:hAnsi="宋体"/>
          <w:b/>
          <w:sz w:val="24"/>
          <w:szCs w:val="24"/>
          <w:lang w:val="zh-CN"/>
        </w:rPr>
        <w:t>第一部分部门概况</w:t>
      </w:r>
    </w:p>
    <w:p w14:paraId="7C4ADB12">
      <w:pPr>
        <w:spacing w:before="100" w:beforeLines="0" w:after="100" w:afterLines="0"/>
        <w:jc w:val="left"/>
        <w:rPr>
          <w:rFonts w:hint="eastAsia" w:ascii="宋体" w:hAnsi="宋体"/>
          <w:sz w:val="24"/>
          <w:szCs w:val="24"/>
          <w:lang w:val="zh-CN"/>
        </w:rPr>
      </w:pPr>
      <w:r>
        <w:rPr>
          <w:rFonts w:hint="eastAsia" w:ascii="宋体" w:hAnsi="宋体"/>
          <w:sz w:val="24"/>
          <w:szCs w:val="24"/>
          <w:lang w:val="zh-CN"/>
        </w:rPr>
        <w:t>一、部门职责</w:t>
      </w:r>
    </w:p>
    <w:p w14:paraId="528A99E5">
      <w:pPr>
        <w:spacing w:before="100" w:beforeLines="0" w:after="100" w:afterLines="0"/>
        <w:ind w:firstLine="480" w:firstLineChars="200"/>
        <w:jc w:val="left"/>
        <w:rPr>
          <w:rFonts w:hint="eastAsia" w:ascii="仿宋_GB2312" w:hAnsi="仿宋" w:eastAsia="仿宋_GB2312" w:cs="宋体"/>
          <w:kern w:val="0"/>
          <w:sz w:val="32"/>
          <w:szCs w:val="32"/>
          <w:lang w:val="en-US" w:eastAsia="zh-CN"/>
        </w:rPr>
      </w:pPr>
      <w:r>
        <w:rPr>
          <w:rFonts w:hint="eastAsia" w:ascii="宋体" w:hAnsi="宋体"/>
          <w:color w:val="auto"/>
          <w:sz w:val="24"/>
          <w:szCs w:val="24"/>
          <w:lang w:val="en-US" w:eastAsia="zh-CN"/>
        </w:rPr>
        <w:t>苗苗幼儿园</w:t>
      </w:r>
      <w:r>
        <w:rPr>
          <w:rFonts w:hint="eastAsia" w:ascii="宋体" w:hAnsi="宋体"/>
          <w:color w:val="auto"/>
          <w:sz w:val="24"/>
          <w:szCs w:val="24"/>
          <w:lang w:val="zh-CN"/>
        </w:rPr>
        <w:t>幼儿园属</w:t>
      </w:r>
      <w:r>
        <w:rPr>
          <w:rFonts w:hint="eastAsia" w:ascii="宋体" w:hAnsi="宋体"/>
          <w:color w:val="auto"/>
          <w:sz w:val="24"/>
          <w:szCs w:val="24"/>
          <w:lang w:val="en-US" w:eastAsia="zh-CN"/>
        </w:rPr>
        <w:t>财政</w:t>
      </w:r>
      <w:r>
        <w:rPr>
          <w:rFonts w:hint="eastAsia" w:ascii="宋体" w:hAnsi="宋体"/>
          <w:color w:val="auto"/>
          <w:sz w:val="24"/>
          <w:szCs w:val="24"/>
          <w:lang w:val="zh-CN"/>
        </w:rPr>
        <w:t>全额拨款事业单位，</w:t>
      </w:r>
      <w:r>
        <w:rPr>
          <w:rFonts w:hint="eastAsia" w:ascii="宋体" w:hAnsi="宋体"/>
          <w:color w:val="auto"/>
          <w:sz w:val="24"/>
          <w:szCs w:val="24"/>
          <w:lang w:val="en-US" w:eastAsia="zh-CN"/>
        </w:rPr>
        <w:t>负责锁南镇东片区内3-5岁儿童学龄前的教育。</w:t>
      </w:r>
    </w:p>
    <w:p w14:paraId="31001105">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en-US" w:eastAsia="zh-CN"/>
        </w:rPr>
        <w:t>二、</w:t>
      </w:r>
      <w:r>
        <w:rPr>
          <w:rFonts w:hint="eastAsia" w:ascii="宋体" w:hAnsi="宋体"/>
          <w:color w:val="auto"/>
          <w:sz w:val="24"/>
          <w:szCs w:val="24"/>
          <w:lang w:val="zh-CN"/>
        </w:rPr>
        <w:t>机构设置</w:t>
      </w:r>
    </w:p>
    <w:p w14:paraId="2C303F86">
      <w:pPr>
        <w:spacing w:before="100" w:beforeLines="0" w:after="100" w:afterLines="0"/>
        <w:ind w:firstLine="480" w:firstLineChars="200"/>
        <w:jc w:val="left"/>
        <w:rPr>
          <w:rFonts w:hint="eastAsia" w:ascii="宋体" w:hAnsi="宋体"/>
          <w:color w:val="auto"/>
          <w:sz w:val="24"/>
          <w:szCs w:val="24"/>
          <w:lang w:val="en-US" w:eastAsia="zh-CN"/>
        </w:rPr>
      </w:pPr>
      <w:r>
        <w:rPr>
          <w:rFonts w:hint="eastAsia" w:ascii="宋体" w:hAnsi="宋体"/>
          <w:color w:val="auto"/>
          <w:sz w:val="24"/>
          <w:szCs w:val="24"/>
          <w:lang w:val="en-US" w:eastAsia="zh-CN"/>
        </w:rPr>
        <w:t>幼儿园现有编制21人，均为事业编。实有人数33人，其中事业人员26人，同工同酬3人，临聘人员4人。</w:t>
      </w:r>
    </w:p>
    <w:p w14:paraId="3AB36581">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第二部分2023年度部门决算表</w:t>
      </w:r>
    </w:p>
    <w:p w14:paraId="51A796C5">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一、收入支出决算总表</w:t>
      </w:r>
    </w:p>
    <w:p w14:paraId="3A6BFC5C">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1320" cy="4168775"/>
            <wp:effectExtent l="0" t="0" r="5080" b="3175"/>
            <wp:docPr id="1"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1"/>
                    <pic:cNvPicPr>
                      <a:picLocks noChangeAspect="1"/>
                    </pic:cNvPicPr>
                  </pic:nvPicPr>
                  <pic:blipFill>
                    <a:blip r:embed="rId4"/>
                    <a:stretch>
                      <a:fillRect/>
                    </a:stretch>
                  </pic:blipFill>
                  <pic:spPr>
                    <a:xfrm>
                      <a:off x="0" y="0"/>
                      <a:ext cx="5481320" cy="4168775"/>
                    </a:xfrm>
                    <a:prstGeom prst="rect">
                      <a:avLst/>
                    </a:prstGeom>
                  </pic:spPr>
                </pic:pic>
              </a:graphicData>
            </a:graphic>
          </wp:inline>
        </w:drawing>
      </w:r>
    </w:p>
    <w:p w14:paraId="0E9DDBF2">
      <w:pPr>
        <w:spacing w:before="100" w:beforeLines="0" w:after="100" w:afterLines="0"/>
        <w:jc w:val="left"/>
        <w:rPr>
          <w:rFonts w:hint="eastAsia" w:ascii="宋体" w:hAnsi="宋体"/>
          <w:color w:val="auto"/>
          <w:sz w:val="24"/>
          <w:szCs w:val="24"/>
          <w:lang w:val="zh-CN"/>
        </w:rPr>
      </w:pPr>
    </w:p>
    <w:p w14:paraId="38A864D9">
      <w:pPr>
        <w:numPr>
          <w:ilvl w:val="0"/>
          <w:numId w:val="1"/>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收入决算表</w:t>
      </w:r>
    </w:p>
    <w:p w14:paraId="6DFD9794">
      <w:pPr>
        <w:numPr>
          <w:numId w:val="0"/>
        </w:num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3860" cy="1513840"/>
            <wp:effectExtent l="0" t="0" r="2540" b="10160"/>
            <wp:docPr id="2" name="图片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2"/>
                    <pic:cNvPicPr>
                      <a:picLocks noChangeAspect="1"/>
                    </pic:cNvPicPr>
                  </pic:nvPicPr>
                  <pic:blipFill>
                    <a:blip r:embed="rId5"/>
                    <a:stretch>
                      <a:fillRect/>
                    </a:stretch>
                  </pic:blipFill>
                  <pic:spPr>
                    <a:xfrm>
                      <a:off x="0" y="0"/>
                      <a:ext cx="5483860" cy="1513840"/>
                    </a:xfrm>
                    <a:prstGeom prst="rect">
                      <a:avLst/>
                    </a:prstGeom>
                  </pic:spPr>
                </pic:pic>
              </a:graphicData>
            </a:graphic>
          </wp:inline>
        </w:drawing>
      </w:r>
    </w:p>
    <w:p w14:paraId="1896C75D">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三、支出决算表</w:t>
      </w:r>
    </w:p>
    <w:p w14:paraId="06559B58">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1320" cy="1589405"/>
            <wp:effectExtent l="0" t="0" r="5080" b="10795"/>
            <wp:docPr id="3" name="图片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
                    <pic:cNvPicPr>
                      <a:picLocks noChangeAspect="1"/>
                    </pic:cNvPicPr>
                  </pic:nvPicPr>
                  <pic:blipFill>
                    <a:blip r:embed="rId6"/>
                    <a:stretch>
                      <a:fillRect/>
                    </a:stretch>
                  </pic:blipFill>
                  <pic:spPr>
                    <a:xfrm>
                      <a:off x="0" y="0"/>
                      <a:ext cx="5481320" cy="1589405"/>
                    </a:xfrm>
                    <a:prstGeom prst="rect">
                      <a:avLst/>
                    </a:prstGeom>
                  </pic:spPr>
                </pic:pic>
              </a:graphicData>
            </a:graphic>
          </wp:inline>
        </w:drawing>
      </w:r>
    </w:p>
    <w:p w14:paraId="105F6CD5">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四、财政拨款收入支出决算总表</w:t>
      </w:r>
    </w:p>
    <w:p w14:paraId="7E6D2F34">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1320" cy="3759835"/>
            <wp:effectExtent l="0" t="0" r="5080" b="12065"/>
            <wp:docPr id="4" name="图片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4"/>
                    <pic:cNvPicPr>
                      <a:picLocks noChangeAspect="1"/>
                    </pic:cNvPicPr>
                  </pic:nvPicPr>
                  <pic:blipFill>
                    <a:blip r:embed="rId7"/>
                    <a:stretch>
                      <a:fillRect/>
                    </a:stretch>
                  </pic:blipFill>
                  <pic:spPr>
                    <a:xfrm>
                      <a:off x="0" y="0"/>
                      <a:ext cx="5481320" cy="3759835"/>
                    </a:xfrm>
                    <a:prstGeom prst="rect">
                      <a:avLst/>
                    </a:prstGeom>
                  </pic:spPr>
                </pic:pic>
              </a:graphicData>
            </a:graphic>
          </wp:inline>
        </w:drawing>
      </w:r>
    </w:p>
    <w:p w14:paraId="5CA5E9AA">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五、一般公共预算财政拨款支出决算表</w:t>
      </w:r>
    </w:p>
    <w:p w14:paraId="008EEB1F">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1955" cy="2165985"/>
            <wp:effectExtent l="0" t="0" r="4445" b="5715"/>
            <wp:docPr id="5" name="图片 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5"/>
                    <pic:cNvPicPr>
                      <a:picLocks noChangeAspect="1"/>
                    </pic:cNvPicPr>
                  </pic:nvPicPr>
                  <pic:blipFill>
                    <a:blip r:embed="rId8"/>
                    <a:stretch>
                      <a:fillRect/>
                    </a:stretch>
                  </pic:blipFill>
                  <pic:spPr>
                    <a:xfrm>
                      <a:off x="0" y="0"/>
                      <a:ext cx="5481955" cy="2165985"/>
                    </a:xfrm>
                    <a:prstGeom prst="rect">
                      <a:avLst/>
                    </a:prstGeom>
                  </pic:spPr>
                </pic:pic>
              </a:graphicData>
            </a:graphic>
          </wp:inline>
        </w:drawing>
      </w:r>
    </w:p>
    <w:p w14:paraId="392E918E">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六、一般公共预算财政拨款基本支出决算明细表</w:t>
      </w:r>
    </w:p>
    <w:p w14:paraId="7E6CB922">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drawing>
          <wp:inline distT="0" distB="0" distL="114300" distR="114300">
            <wp:extent cx="5486400" cy="2947035"/>
            <wp:effectExtent l="0" t="0" r="0" b="5715"/>
            <wp:docPr id="6" name="图片 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6"/>
                    <pic:cNvPicPr>
                      <a:picLocks noChangeAspect="1"/>
                    </pic:cNvPicPr>
                  </pic:nvPicPr>
                  <pic:blipFill>
                    <a:blip r:embed="rId9"/>
                    <a:stretch>
                      <a:fillRect/>
                    </a:stretch>
                  </pic:blipFill>
                  <pic:spPr>
                    <a:xfrm>
                      <a:off x="0" y="0"/>
                      <a:ext cx="5486400" cy="2947035"/>
                    </a:xfrm>
                    <a:prstGeom prst="rect">
                      <a:avLst/>
                    </a:prstGeom>
                  </pic:spPr>
                </pic:pic>
              </a:graphicData>
            </a:graphic>
          </wp:inline>
        </w:drawing>
      </w:r>
    </w:p>
    <w:p w14:paraId="70240FED">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七、政府性基金预算财政拨款收入支出决算表（本部门没有相关数据,故本表无数据）</w:t>
      </w:r>
    </w:p>
    <w:p w14:paraId="54162091">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八、国有资本经营预算财政拨款支出决算表（本部门没有相关数据,故本表无数据）</w:t>
      </w:r>
    </w:p>
    <w:p w14:paraId="7CA18181">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九、财政拨款</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经费支出决算表（本部门没有相关数据,故本表无数据）</w:t>
      </w:r>
    </w:p>
    <w:p w14:paraId="5AFE3AFE">
      <w:pPr>
        <w:spacing w:before="100" w:beforeLines="0" w:after="100" w:afterLines="0"/>
        <w:jc w:val="center"/>
        <w:rPr>
          <w:rFonts w:hint="eastAsia" w:ascii="宋体" w:hAnsi="宋体"/>
          <w:color w:val="auto"/>
          <w:sz w:val="24"/>
          <w:szCs w:val="24"/>
          <w:lang w:val="zh-CN"/>
        </w:rPr>
      </w:pPr>
      <w:r>
        <w:rPr>
          <w:rFonts w:hint="eastAsia" w:ascii="宋体" w:hAnsi="宋体"/>
          <w:b/>
          <w:color w:val="auto"/>
          <w:sz w:val="24"/>
          <w:szCs w:val="24"/>
          <w:lang w:val="zh-CN"/>
        </w:rPr>
        <w:t>第三部分2023年度部门决算情况说明</w:t>
      </w:r>
    </w:p>
    <w:p w14:paraId="369B065A">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一、收入支出决算总体情况说明</w:t>
      </w:r>
    </w:p>
    <w:p w14:paraId="144D65E1">
      <w:pPr>
        <w:spacing w:before="100" w:beforeLines="0" w:after="100" w:afterLines="0"/>
        <w:ind w:firstLine="480" w:firstLineChars="200"/>
        <w:jc w:val="left"/>
        <w:rPr>
          <w:rFonts w:hint="eastAsia" w:ascii="宋体" w:hAnsi="宋体"/>
          <w:color w:val="FF0000"/>
          <w:sz w:val="24"/>
          <w:szCs w:val="24"/>
          <w:lang w:val="zh-CN"/>
        </w:rPr>
      </w:pPr>
      <w:r>
        <w:rPr>
          <w:rFonts w:hint="eastAsia" w:ascii="宋体" w:hAnsi="宋体"/>
          <w:color w:val="auto"/>
          <w:sz w:val="24"/>
          <w:szCs w:val="24"/>
          <w:lang w:val="zh-CN"/>
        </w:rPr>
        <w:t>2023年度收、支总计</w:t>
      </w:r>
      <w:r>
        <w:rPr>
          <w:rFonts w:hint="eastAsia" w:ascii="宋体" w:hAnsi="宋体"/>
          <w:color w:val="auto"/>
          <w:sz w:val="24"/>
          <w:szCs w:val="24"/>
          <w:lang w:val="en-US"/>
        </w:rPr>
        <w:t>均为</w:t>
      </w:r>
      <w:r>
        <w:rPr>
          <w:rFonts w:hint="eastAsia" w:ascii="宋体" w:hAnsi="宋体"/>
          <w:color w:val="auto"/>
          <w:sz w:val="24"/>
          <w:szCs w:val="24"/>
          <w:lang w:val="zh-CN"/>
        </w:rPr>
        <w:t>400.89万元。</w:t>
      </w:r>
      <w:r>
        <w:rPr>
          <w:rFonts w:hint="eastAsia" w:ascii="宋体" w:hAnsi="宋体"/>
          <w:color w:val="auto"/>
          <w:sz w:val="24"/>
          <w:szCs w:val="24"/>
          <w:lang w:val="en-US"/>
        </w:rPr>
        <w:t>与上年度相比,</w:t>
      </w:r>
      <w:r>
        <w:rPr>
          <w:rFonts w:hint="eastAsia" w:ascii="宋体" w:hAnsi="宋体"/>
          <w:color w:val="auto"/>
          <w:sz w:val="24"/>
          <w:szCs w:val="24"/>
          <w:lang w:val="zh-CN"/>
        </w:rPr>
        <w:t>收、支</w:t>
      </w:r>
      <w:r>
        <w:rPr>
          <w:rFonts w:hint="eastAsia" w:ascii="宋体" w:hAnsi="宋体"/>
          <w:color w:val="auto"/>
          <w:sz w:val="24"/>
          <w:szCs w:val="24"/>
          <w:lang w:val="en-US"/>
        </w:rPr>
        <w:t>总计各</w:t>
      </w:r>
      <w:r>
        <w:rPr>
          <w:rFonts w:hint="eastAsia" w:ascii="宋体" w:hAnsi="宋体"/>
          <w:color w:val="auto"/>
          <w:sz w:val="24"/>
          <w:szCs w:val="24"/>
          <w:lang w:val="zh-CN"/>
        </w:rPr>
        <w:t>增加6.41</w:t>
      </w:r>
      <w:bookmarkStart w:id="0" w:name="_GoBack"/>
      <w:bookmarkEnd w:id="0"/>
      <w:r>
        <w:rPr>
          <w:rFonts w:hint="eastAsia" w:ascii="宋体" w:hAnsi="宋体"/>
          <w:color w:val="auto"/>
          <w:sz w:val="24"/>
          <w:szCs w:val="24"/>
          <w:lang w:val="zh-CN"/>
        </w:rPr>
        <w:t>万元,增长1.62%,主要原因是</w:t>
      </w:r>
      <w:r>
        <w:rPr>
          <w:rFonts w:hint="eastAsia" w:ascii="宋体" w:hAnsi="宋体"/>
          <w:color w:val="auto"/>
          <w:sz w:val="24"/>
          <w:szCs w:val="24"/>
          <w:lang w:val="en-US" w:eastAsia="zh-CN"/>
        </w:rPr>
        <w:t>教师增加，工资增加</w:t>
      </w:r>
      <w:r>
        <w:rPr>
          <w:rFonts w:hint="eastAsia" w:ascii="宋体" w:hAnsi="宋体"/>
          <w:color w:val="auto"/>
          <w:sz w:val="24"/>
          <w:szCs w:val="24"/>
          <w:lang w:val="zh-CN"/>
        </w:rPr>
        <w:t>。</w:t>
      </w:r>
    </w:p>
    <w:p w14:paraId="70C1051A">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二、收入决算情况说明</w:t>
      </w:r>
    </w:p>
    <w:p w14:paraId="52B1D224">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2023年度收入合计400.81万元,其中：财政拨款收入400.81万元,占100.00%；</w:t>
      </w:r>
    </w:p>
    <w:p w14:paraId="5D2C791D">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三、支出决算情况说明</w:t>
      </w:r>
    </w:p>
    <w:p w14:paraId="116DC446">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2023年度支出合计400.81万元,其中：基本支出335.74万元,占83.77%；项目支出65.07万元,占16.23%。</w:t>
      </w:r>
    </w:p>
    <w:p w14:paraId="65B2F58F">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四、财政拨款收入支出决算总体情况说明</w:t>
      </w:r>
    </w:p>
    <w:p w14:paraId="093EE0AA">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2023年度财政拨款收、支总计</w:t>
      </w:r>
      <w:r>
        <w:rPr>
          <w:rFonts w:hint="eastAsia" w:ascii="宋体" w:hAnsi="宋体"/>
          <w:color w:val="auto"/>
          <w:sz w:val="24"/>
          <w:szCs w:val="24"/>
          <w:lang w:val="en-US"/>
        </w:rPr>
        <w:t>均为</w:t>
      </w:r>
      <w:r>
        <w:rPr>
          <w:rFonts w:hint="eastAsia" w:ascii="宋体" w:hAnsi="宋体"/>
          <w:color w:val="auto"/>
          <w:sz w:val="24"/>
          <w:szCs w:val="24"/>
          <w:lang w:val="zh-CN"/>
        </w:rPr>
        <w:t>400.88万元。与</w:t>
      </w:r>
      <w:r>
        <w:rPr>
          <w:rFonts w:hint="eastAsia" w:ascii="宋体" w:hAnsi="宋体"/>
          <w:color w:val="auto"/>
          <w:sz w:val="24"/>
          <w:szCs w:val="24"/>
          <w:lang w:val="en-US"/>
        </w:rPr>
        <w:t>上</w:t>
      </w:r>
      <w:r>
        <w:rPr>
          <w:rFonts w:hint="eastAsia" w:ascii="宋体" w:hAnsi="宋体"/>
          <w:color w:val="auto"/>
          <w:sz w:val="24"/>
          <w:szCs w:val="24"/>
          <w:lang w:val="zh-CN"/>
        </w:rPr>
        <w:t>年</w:t>
      </w:r>
      <w:r>
        <w:rPr>
          <w:rFonts w:hint="eastAsia" w:ascii="宋体" w:hAnsi="宋体"/>
          <w:color w:val="auto"/>
          <w:sz w:val="24"/>
          <w:szCs w:val="24"/>
          <w:lang w:val="en-US" w:eastAsia="zh-CN"/>
        </w:rPr>
        <w:t>教师增加，工资增加</w:t>
      </w:r>
      <w:r>
        <w:rPr>
          <w:rFonts w:hint="eastAsia" w:ascii="宋体" w:hAnsi="宋体"/>
          <w:color w:val="auto"/>
          <w:sz w:val="24"/>
          <w:szCs w:val="24"/>
          <w:lang w:val="zh-CN"/>
        </w:rPr>
        <w:t>。</w:t>
      </w:r>
    </w:p>
    <w:p w14:paraId="1AD140FF">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五、一般公共预算财政拨款支出决算情况说明</w:t>
      </w:r>
    </w:p>
    <w:p w14:paraId="3D1F8219">
      <w:pPr>
        <w:spacing w:before="100" w:beforeLines="0" w:after="100" w:afterLines="0"/>
        <w:jc w:val="left"/>
        <w:rPr>
          <w:rFonts w:hint="eastAsia" w:ascii="宋体" w:hAnsi="宋体"/>
          <w:color w:val="auto"/>
          <w:sz w:val="24"/>
          <w:szCs w:val="24"/>
          <w:lang w:val="zh-CN"/>
        </w:rPr>
      </w:pPr>
      <w:r>
        <w:rPr>
          <w:rFonts w:hint="eastAsia" w:ascii="宋体" w:hAnsi="宋体"/>
          <w:color w:val="auto"/>
          <w:sz w:val="24"/>
          <w:szCs w:val="24"/>
          <w:lang w:val="zh-CN"/>
        </w:rPr>
        <w:t>（一）一般公共预算财政拨款支出决算总体情况</w:t>
      </w:r>
    </w:p>
    <w:p w14:paraId="3A34ECA1">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2023年度一般公共预算财政拨款支出400.81万元,较上年决算数增加6.41万元,增长1.63%。主要原因是</w:t>
      </w:r>
      <w:r>
        <w:rPr>
          <w:rFonts w:hint="eastAsia" w:ascii="宋体" w:hAnsi="宋体"/>
          <w:color w:val="auto"/>
          <w:sz w:val="24"/>
          <w:szCs w:val="24"/>
          <w:lang w:val="en-US" w:eastAsia="zh-CN"/>
        </w:rPr>
        <w:t>教师增加，工资增加</w:t>
      </w:r>
      <w:r>
        <w:rPr>
          <w:rFonts w:hint="eastAsia" w:ascii="宋体" w:hAnsi="宋体"/>
          <w:color w:val="auto"/>
          <w:sz w:val="24"/>
          <w:szCs w:val="24"/>
          <w:lang w:val="zh-CN"/>
        </w:rPr>
        <w:t>。</w:t>
      </w:r>
    </w:p>
    <w:p w14:paraId="68CF7696">
      <w:pPr>
        <w:numPr>
          <w:ilvl w:val="0"/>
          <w:numId w:val="2"/>
        </w:numPr>
        <w:spacing w:before="100" w:beforeLines="0" w:after="100" w:afterLine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一般公共预算财政拨款支出决算结构情况</w:t>
      </w:r>
    </w:p>
    <w:p w14:paraId="3DD70F55">
      <w:pPr>
        <w:numPr>
          <w:ilvl w:val="0"/>
          <w:numId w:val="0"/>
        </w:numPr>
        <w:spacing w:before="100" w:beforeLines="0" w:after="100" w:afterLines="0"/>
        <w:ind w:firstLine="480" w:firstLineChars="200"/>
        <w:jc w:val="left"/>
        <w:rPr>
          <w:rFonts w:hint="eastAsia" w:ascii="宋体" w:hAnsi="宋体"/>
          <w:color w:val="FF0000"/>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w:t>
      </w:r>
      <w:r>
        <w:rPr>
          <w:rFonts w:hint="eastAsia" w:ascii="宋体" w:hAnsi="宋体"/>
          <w:color w:val="auto"/>
          <w:sz w:val="24"/>
          <w:szCs w:val="24"/>
          <w:lang w:val="zh-CN"/>
        </w:rPr>
        <w:t>400.81万元，主要用于以下方面：一般公共服务支出2.24万元,占0.56%；教育支出326.33万元,占81.42%；社会保障和就业支出33.96万元,占8.47%；卫生健康支出13.71万元,占3.42%；住房保障支出24.58万元,占6.13%。</w:t>
      </w:r>
    </w:p>
    <w:p w14:paraId="0ABA38DB">
      <w:pPr>
        <w:numPr>
          <w:ilvl w:val="0"/>
          <w:numId w:val="2"/>
        </w:numPr>
        <w:spacing w:before="100" w:beforeLines="0" w:after="100" w:afterLines="0"/>
        <w:ind w:left="0" w:leftChars="0" w:firstLine="0" w:firstLineChars="0"/>
        <w:jc w:val="left"/>
        <w:rPr>
          <w:rFonts w:hint="eastAsia" w:ascii="宋体" w:hAnsi="宋体"/>
          <w:color w:val="000000" w:themeColor="text1"/>
          <w:sz w:val="24"/>
          <w:szCs w:val="24"/>
          <w:lang w:val="zh-CN"/>
          <w14:textFill>
            <w14:solidFill>
              <w14:schemeClr w14:val="tx1"/>
            </w14:solidFill>
          </w14:textFill>
        </w:rPr>
      </w:pPr>
      <w:r>
        <w:rPr>
          <w:rFonts w:hint="eastAsia" w:ascii="宋体" w:hAnsi="宋体"/>
          <w:color w:val="000000" w:themeColor="text1"/>
          <w:sz w:val="24"/>
          <w:szCs w:val="24"/>
          <w:lang w:val="zh-CN"/>
          <w14:textFill>
            <w14:solidFill>
              <w14:schemeClr w14:val="tx1"/>
            </w14:solidFill>
          </w14:textFill>
        </w:rPr>
        <w:t>一般公共预算财政拨款支出决算具体情况。</w:t>
      </w:r>
    </w:p>
    <w:p w14:paraId="52D10DF2">
      <w:pPr>
        <w:numPr>
          <w:ilvl w:val="0"/>
          <w:numId w:val="0"/>
        </w:numPr>
        <w:spacing w:before="100" w:beforeLines="0" w:after="100" w:afterLines="0"/>
        <w:ind w:leftChars="0" w:firstLine="480" w:firstLineChars="200"/>
        <w:jc w:val="left"/>
        <w:rPr>
          <w:rFonts w:hint="eastAsia" w:ascii="宋体" w:hAnsi="宋体"/>
          <w:color w:val="auto"/>
          <w:sz w:val="24"/>
          <w:szCs w:val="24"/>
          <w:lang w:val="zh-CN"/>
        </w:rPr>
      </w:pPr>
      <w:r>
        <w:rPr>
          <w:rFonts w:hint="eastAsia" w:ascii="宋体" w:hAnsi="宋体"/>
          <w:color w:val="000000" w:themeColor="text1"/>
          <w:sz w:val="24"/>
          <w:szCs w:val="24"/>
          <w:lang w:val="en-US" w:eastAsia="zh-CN"/>
          <w14:textFill>
            <w14:solidFill>
              <w14:schemeClr w14:val="tx1"/>
            </w14:solidFill>
          </w14:textFill>
        </w:rPr>
        <w:t>2023年度一般公共预算财政拨款支出年初预算为</w:t>
      </w:r>
      <w:r>
        <w:rPr>
          <w:rFonts w:hint="eastAsia" w:ascii="宋体" w:hAnsi="宋体"/>
          <w:color w:val="auto"/>
          <w:sz w:val="24"/>
          <w:szCs w:val="24"/>
          <w:lang w:val="zh-CN"/>
        </w:rPr>
        <w:t>339.97万元,支出决算为400.81万元,完成年初预算的117.89%。其中：</w:t>
      </w:r>
    </w:p>
    <w:p w14:paraId="132BE838">
      <w:pPr>
        <w:spacing w:before="100" w:beforeLines="0" w:after="100" w:afterLines="0"/>
        <w:jc w:val="left"/>
        <w:rPr>
          <w:rFonts w:hint="eastAsia" w:ascii="宋体" w:hAnsi="宋体"/>
          <w:color w:val="auto"/>
          <w:sz w:val="24"/>
          <w:szCs w:val="24"/>
          <w:lang w:val="zh-CN"/>
        </w:rPr>
      </w:pPr>
      <w:r>
        <w:rPr>
          <w:rFonts w:hint="default" w:ascii="Times New Roman" w:hAnsi="Times New Roman" w:eastAsia="Times New Roman"/>
          <w:b/>
          <w:color w:val="auto"/>
          <w:sz w:val="24"/>
          <w:szCs w:val="24"/>
          <w:lang w:val="zh-CN"/>
        </w:rPr>
        <w:t>1</w:t>
      </w:r>
      <w:r>
        <w:rPr>
          <w:rFonts w:hint="eastAsia" w:ascii="宋体" w:hAnsi="宋体"/>
          <w:b/>
          <w:color w:val="auto"/>
          <w:sz w:val="24"/>
          <w:szCs w:val="24"/>
          <w:lang w:val="zh-CN"/>
        </w:rPr>
        <w:t>．一般公共服务支出</w:t>
      </w:r>
      <w:r>
        <w:rPr>
          <w:rFonts w:hint="eastAsia" w:ascii="宋体" w:hAnsi="宋体"/>
          <w:color w:val="auto"/>
          <w:sz w:val="24"/>
          <w:szCs w:val="24"/>
          <w:lang w:val="zh-CN"/>
        </w:rPr>
        <w:t>年初预算数为3.73万元,支出决算为2.24万元,完成年初预算的60.0%,决算数小于预算数的主要原因是</w:t>
      </w:r>
      <w:r>
        <w:rPr>
          <w:rFonts w:hint="eastAsia" w:ascii="宋体" w:hAnsi="宋体"/>
          <w:color w:val="auto"/>
          <w:sz w:val="24"/>
          <w:szCs w:val="24"/>
          <w:lang w:val="en-US" w:eastAsia="zh-CN"/>
        </w:rPr>
        <w:t>部分应支出项未支出</w:t>
      </w:r>
      <w:r>
        <w:rPr>
          <w:rFonts w:hint="eastAsia" w:ascii="宋体" w:hAnsi="宋体"/>
          <w:color w:val="auto"/>
          <w:sz w:val="24"/>
          <w:szCs w:val="24"/>
          <w:lang w:val="zh-CN"/>
        </w:rPr>
        <w:t>。</w:t>
      </w:r>
    </w:p>
    <w:p w14:paraId="48987AD6">
      <w:pPr>
        <w:spacing w:before="100" w:beforeLines="0" w:after="100" w:afterLines="0"/>
        <w:jc w:val="left"/>
        <w:rPr>
          <w:rFonts w:hint="eastAsia" w:ascii="宋体" w:hAnsi="宋体"/>
          <w:color w:val="FF0000"/>
          <w:sz w:val="24"/>
          <w:szCs w:val="24"/>
          <w:lang w:val="zh-CN"/>
        </w:rPr>
      </w:pPr>
      <w:r>
        <w:rPr>
          <w:rFonts w:hint="eastAsia" w:ascii="宋体" w:hAnsi="宋体"/>
          <w:b/>
          <w:color w:val="auto"/>
          <w:sz w:val="24"/>
          <w:szCs w:val="24"/>
          <w:lang w:val="en-US" w:eastAsia="zh-CN"/>
        </w:rPr>
        <w:t>2</w:t>
      </w:r>
      <w:r>
        <w:rPr>
          <w:rFonts w:hint="eastAsia" w:ascii="宋体" w:hAnsi="宋体"/>
          <w:b/>
          <w:color w:val="auto"/>
          <w:sz w:val="24"/>
          <w:szCs w:val="24"/>
          <w:lang w:val="zh-CN"/>
        </w:rPr>
        <w:t>．教育支出</w:t>
      </w:r>
      <w:r>
        <w:rPr>
          <w:rFonts w:hint="eastAsia" w:ascii="宋体" w:hAnsi="宋体"/>
          <w:color w:val="auto"/>
          <w:sz w:val="24"/>
          <w:szCs w:val="24"/>
          <w:lang w:val="zh-CN"/>
        </w:rPr>
        <w:t>年初预算数为265.67万元,支出决算为326.33万元,完成年初预算的122.83%,决算数大于预算数的</w:t>
      </w:r>
      <w:r>
        <w:rPr>
          <w:rFonts w:hint="eastAsia" w:ascii="宋体" w:hAnsi="宋体"/>
          <w:color w:val="auto"/>
          <w:sz w:val="24"/>
          <w:szCs w:val="24"/>
          <w:lang w:val="zh-CN" w:eastAsia="zh-CN"/>
        </w:rPr>
        <w:t>主要原因是</w:t>
      </w:r>
      <w:r>
        <w:rPr>
          <w:rFonts w:hint="eastAsia" w:ascii="宋体" w:hAnsi="宋体"/>
          <w:color w:val="auto"/>
          <w:sz w:val="24"/>
          <w:szCs w:val="24"/>
          <w:lang w:val="en-US" w:eastAsia="zh-CN"/>
        </w:rPr>
        <w:t>上年度未支出部分本年进行了支出</w:t>
      </w:r>
      <w:r>
        <w:rPr>
          <w:rFonts w:hint="eastAsia" w:ascii="宋体" w:hAnsi="宋体"/>
          <w:color w:val="auto"/>
          <w:sz w:val="24"/>
          <w:szCs w:val="24"/>
          <w:lang w:val="zh-CN" w:eastAsia="zh-CN"/>
        </w:rPr>
        <w:t>。</w:t>
      </w:r>
    </w:p>
    <w:p w14:paraId="4E64F211">
      <w:pPr>
        <w:spacing w:before="100" w:beforeLines="0" w:after="100" w:afterLines="0"/>
        <w:jc w:val="left"/>
        <w:rPr>
          <w:rFonts w:hint="eastAsia" w:ascii="宋体" w:hAnsi="宋体"/>
          <w:color w:val="auto"/>
          <w:sz w:val="24"/>
          <w:szCs w:val="24"/>
          <w:lang w:val="zh-CN" w:eastAsia="zh-CN"/>
        </w:rPr>
      </w:pPr>
      <w:r>
        <w:rPr>
          <w:rFonts w:hint="eastAsia" w:ascii="宋体" w:hAnsi="宋体"/>
          <w:b/>
          <w:color w:val="auto"/>
          <w:sz w:val="24"/>
          <w:szCs w:val="24"/>
          <w:lang w:val="en-US" w:eastAsia="zh-CN"/>
        </w:rPr>
        <w:t>3</w:t>
      </w:r>
      <w:r>
        <w:rPr>
          <w:rFonts w:hint="eastAsia" w:ascii="宋体" w:hAnsi="宋体"/>
          <w:b/>
          <w:color w:val="auto"/>
          <w:sz w:val="24"/>
          <w:szCs w:val="24"/>
          <w:lang w:val="zh-CN"/>
        </w:rPr>
        <w:t>．社会保障和就业支出</w:t>
      </w:r>
      <w:r>
        <w:rPr>
          <w:rFonts w:hint="eastAsia" w:ascii="宋体" w:hAnsi="宋体"/>
          <w:color w:val="auto"/>
          <w:sz w:val="24"/>
          <w:szCs w:val="24"/>
          <w:lang w:val="zh-CN"/>
        </w:rPr>
        <w:t>年初预算数为33.96万元,支出决算为33.96万元,完成年初预算的99.98%,决算数小于预算数</w:t>
      </w:r>
      <w:r>
        <w:rPr>
          <w:rFonts w:hint="eastAsia" w:ascii="宋体" w:hAnsi="宋体"/>
          <w:color w:val="auto"/>
          <w:sz w:val="24"/>
          <w:szCs w:val="24"/>
          <w:lang w:val="zh-CN" w:eastAsia="zh-CN"/>
        </w:rPr>
        <w:t>的主要原因是</w:t>
      </w:r>
      <w:r>
        <w:rPr>
          <w:rFonts w:hint="eastAsia" w:ascii="宋体" w:hAnsi="宋体"/>
          <w:color w:val="auto"/>
          <w:sz w:val="24"/>
          <w:szCs w:val="24"/>
          <w:lang w:val="en-US" w:eastAsia="zh-CN"/>
        </w:rPr>
        <w:t>10-12月份养老保险未及时缴清</w:t>
      </w:r>
      <w:r>
        <w:rPr>
          <w:rFonts w:hint="eastAsia" w:ascii="宋体" w:hAnsi="宋体"/>
          <w:color w:val="auto"/>
          <w:sz w:val="24"/>
          <w:szCs w:val="24"/>
          <w:lang w:val="zh-CN" w:eastAsia="zh-CN"/>
        </w:rPr>
        <w:t>。</w:t>
      </w:r>
    </w:p>
    <w:p w14:paraId="01C499CC">
      <w:pPr>
        <w:spacing w:before="100" w:beforeLines="0" w:after="100" w:afterLines="0"/>
        <w:jc w:val="left"/>
        <w:rPr>
          <w:rFonts w:hint="eastAsia" w:ascii="宋体" w:hAnsi="宋体"/>
          <w:color w:val="auto"/>
          <w:sz w:val="24"/>
          <w:szCs w:val="24"/>
          <w:lang w:val="zh-CN" w:eastAsia="zh-CN"/>
        </w:rPr>
      </w:pPr>
      <w:r>
        <w:rPr>
          <w:rFonts w:hint="eastAsia" w:ascii="宋体" w:hAnsi="宋体"/>
          <w:b/>
          <w:color w:val="auto"/>
          <w:sz w:val="24"/>
          <w:szCs w:val="24"/>
          <w:lang w:val="en-US" w:eastAsia="zh-CN"/>
        </w:rPr>
        <w:t>4</w:t>
      </w:r>
      <w:r>
        <w:rPr>
          <w:rFonts w:hint="eastAsia" w:ascii="宋体" w:hAnsi="宋体"/>
          <w:b/>
          <w:color w:val="auto"/>
          <w:sz w:val="24"/>
          <w:szCs w:val="24"/>
          <w:lang w:val="zh-CN"/>
        </w:rPr>
        <w:t>．卫生健康支出</w:t>
      </w:r>
      <w:r>
        <w:rPr>
          <w:rFonts w:hint="eastAsia" w:ascii="宋体" w:hAnsi="宋体"/>
          <w:color w:val="auto"/>
          <w:sz w:val="24"/>
          <w:szCs w:val="24"/>
          <w:lang w:val="zh-CN"/>
        </w:rPr>
        <w:t>年初预算数为13.91万元,支出决算为13.71万元,完成年初预算的98.55%,决算数小于预算数的</w:t>
      </w:r>
      <w:r>
        <w:rPr>
          <w:rFonts w:hint="eastAsia" w:ascii="宋体" w:hAnsi="宋体"/>
          <w:color w:val="auto"/>
          <w:sz w:val="24"/>
          <w:szCs w:val="24"/>
          <w:lang w:val="zh-CN" w:eastAsia="zh-CN"/>
        </w:rPr>
        <w:t>主要原因是</w:t>
      </w:r>
      <w:r>
        <w:rPr>
          <w:rFonts w:hint="eastAsia" w:ascii="宋体" w:hAnsi="宋体"/>
          <w:color w:val="auto"/>
          <w:sz w:val="24"/>
          <w:szCs w:val="24"/>
          <w:lang w:val="en-US" w:eastAsia="zh-CN"/>
        </w:rPr>
        <w:t>教职工有调动，工资基数有所减少</w:t>
      </w:r>
      <w:r>
        <w:rPr>
          <w:rFonts w:hint="eastAsia" w:ascii="宋体" w:hAnsi="宋体"/>
          <w:color w:val="auto"/>
          <w:sz w:val="24"/>
          <w:szCs w:val="24"/>
          <w:lang w:val="zh-CN" w:eastAsia="zh-CN"/>
        </w:rPr>
        <w:t>。</w:t>
      </w:r>
    </w:p>
    <w:p w14:paraId="3DBDAD72">
      <w:pPr>
        <w:spacing w:before="100" w:beforeLines="0" w:after="100" w:afterLines="0"/>
        <w:jc w:val="left"/>
        <w:rPr>
          <w:rFonts w:hint="eastAsia" w:ascii="宋体" w:hAnsi="宋体"/>
          <w:color w:val="auto"/>
          <w:sz w:val="24"/>
          <w:szCs w:val="24"/>
          <w:lang w:val="zh-CN" w:eastAsia="zh-CN"/>
        </w:rPr>
      </w:pPr>
      <w:r>
        <w:rPr>
          <w:rFonts w:hint="eastAsia" w:ascii="宋体" w:hAnsi="宋体"/>
          <w:b/>
          <w:color w:val="auto"/>
          <w:sz w:val="24"/>
          <w:szCs w:val="24"/>
          <w:lang w:val="en-US" w:eastAsia="zh-CN"/>
        </w:rPr>
        <w:t>5</w:t>
      </w:r>
      <w:r>
        <w:rPr>
          <w:rFonts w:hint="eastAsia" w:ascii="宋体" w:hAnsi="宋体"/>
          <w:b/>
          <w:color w:val="auto"/>
          <w:sz w:val="24"/>
          <w:szCs w:val="24"/>
          <w:lang w:val="zh-CN"/>
        </w:rPr>
        <w:t>．住房保障支出</w:t>
      </w:r>
      <w:r>
        <w:rPr>
          <w:rFonts w:hint="eastAsia" w:ascii="宋体" w:hAnsi="宋体"/>
          <w:color w:val="auto"/>
          <w:sz w:val="24"/>
          <w:szCs w:val="24"/>
          <w:lang w:val="zh-CN"/>
        </w:rPr>
        <w:t>年初预算数为22.70万元,支出决算为24.58万元,完成年初预算的108.26%,决算数大于预算</w:t>
      </w:r>
      <w:r>
        <w:rPr>
          <w:rFonts w:hint="eastAsia" w:ascii="宋体" w:hAnsi="宋体"/>
          <w:color w:val="auto"/>
          <w:sz w:val="24"/>
          <w:szCs w:val="24"/>
          <w:lang w:val="zh-CN" w:eastAsia="zh-CN"/>
        </w:rPr>
        <w:t>数的主要原因是</w:t>
      </w:r>
      <w:r>
        <w:rPr>
          <w:rFonts w:hint="eastAsia" w:ascii="宋体" w:hAnsi="宋体"/>
          <w:color w:val="auto"/>
          <w:sz w:val="24"/>
          <w:szCs w:val="24"/>
          <w:lang w:val="en-US" w:eastAsia="zh-CN"/>
        </w:rPr>
        <w:t>教师增加，工资增加</w:t>
      </w:r>
      <w:r>
        <w:rPr>
          <w:rFonts w:hint="eastAsia" w:ascii="宋体" w:hAnsi="宋体"/>
          <w:color w:val="auto"/>
          <w:sz w:val="24"/>
          <w:szCs w:val="24"/>
          <w:lang w:val="zh-CN" w:eastAsia="zh-CN"/>
        </w:rPr>
        <w:t>。</w:t>
      </w:r>
    </w:p>
    <w:p w14:paraId="66D1D6D0">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六、一般公共预算财政拨款基本支出决算情况说明</w:t>
      </w:r>
    </w:p>
    <w:p w14:paraId="46D8996A">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2023年度一般公共预算财政拨款基本支出335.74万元。其中：</w:t>
      </w:r>
    </w:p>
    <w:p w14:paraId="46E6C7E3">
      <w:pPr>
        <w:spacing w:before="100" w:beforeLines="0" w:after="100" w:afterLines="0"/>
        <w:jc w:val="left"/>
        <w:rPr>
          <w:rFonts w:hint="eastAsia" w:ascii="宋体" w:hAnsi="宋体"/>
          <w:color w:val="auto"/>
          <w:sz w:val="24"/>
          <w:szCs w:val="24"/>
          <w:lang w:val="zh-CN"/>
        </w:rPr>
      </w:pPr>
      <w:r>
        <w:rPr>
          <w:rFonts w:hint="eastAsia" w:ascii="宋体" w:hAnsi="宋体"/>
          <w:b/>
          <w:color w:val="auto"/>
          <w:sz w:val="24"/>
          <w:szCs w:val="24"/>
          <w:lang w:val="zh-CN"/>
        </w:rPr>
        <w:t>人员经费</w:t>
      </w:r>
      <w:r>
        <w:rPr>
          <w:rFonts w:hint="eastAsia" w:ascii="宋体" w:hAnsi="宋体"/>
          <w:color w:val="auto"/>
          <w:sz w:val="24"/>
          <w:szCs w:val="24"/>
          <w:lang w:val="zh-CN"/>
        </w:rPr>
        <w:t>333.50万元,较上年决算数减少17.86万元,下降5.08%,主要原因是</w:t>
      </w:r>
      <w:r>
        <w:rPr>
          <w:rFonts w:hint="eastAsia" w:ascii="宋体" w:hAnsi="宋体"/>
          <w:color w:val="auto"/>
          <w:sz w:val="24"/>
          <w:szCs w:val="24"/>
          <w:lang w:val="en-US" w:eastAsia="zh-CN"/>
        </w:rPr>
        <w:t>上年度补贴类人员经费较多</w:t>
      </w:r>
      <w:r>
        <w:rPr>
          <w:rFonts w:hint="eastAsia" w:ascii="宋体" w:hAnsi="宋体"/>
          <w:color w:val="auto"/>
          <w:sz w:val="24"/>
          <w:szCs w:val="24"/>
          <w:lang w:val="zh-CN"/>
        </w:rPr>
        <w:t>。人员经费用途主要包括基本工资1110267.9</w:t>
      </w:r>
      <w:r>
        <w:rPr>
          <w:rFonts w:hint="eastAsia" w:ascii="宋体" w:hAnsi="宋体"/>
          <w:color w:val="auto"/>
          <w:sz w:val="24"/>
          <w:szCs w:val="24"/>
          <w:lang w:val="en-US" w:eastAsia="zh-CN"/>
        </w:rPr>
        <w:t>元</w:t>
      </w:r>
      <w:r>
        <w:rPr>
          <w:rFonts w:hint="eastAsia" w:ascii="宋体" w:hAnsi="宋体"/>
          <w:color w:val="auto"/>
          <w:sz w:val="24"/>
          <w:szCs w:val="24"/>
          <w:lang w:val="zh-CN"/>
        </w:rPr>
        <w:t>、津贴补贴1089293.77</w:t>
      </w:r>
      <w:r>
        <w:rPr>
          <w:rFonts w:hint="eastAsia" w:ascii="宋体" w:hAnsi="宋体"/>
          <w:color w:val="auto"/>
          <w:sz w:val="24"/>
          <w:szCs w:val="24"/>
          <w:lang w:val="en-US" w:eastAsia="zh-CN"/>
        </w:rPr>
        <w:t>元</w:t>
      </w:r>
      <w:r>
        <w:rPr>
          <w:rFonts w:hint="eastAsia" w:ascii="宋体" w:hAnsi="宋体"/>
          <w:color w:val="auto"/>
          <w:sz w:val="24"/>
          <w:szCs w:val="24"/>
          <w:lang w:val="zh-CN"/>
        </w:rPr>
        <w:t>、奖金380189.83</w:t>
      </w:r>
      <w:r>
        <w:rPr>
          <w:rFonts w:hint="eastAsia" w:ascii="宋体" w:hAnsi="宋体"/>
          <w:color w:val="auto"/>
          <w:sz w:val="24"/>
          <w:szCs w:val="24"/>
          <w:lang w:val="en-US" w:eastAsia="zh-CN"/>
        </w:rPr>
        <w:t>元</w:t>
      </w:r>
      <w:r>
        <w:rPr>
          <w:rFonts w:hint="eastAsia" w:ascii="宋体" w:hAnsi="宋体"/>
          <w:color w:val="auto"/>
          <w:sz w:val="24"/>
          <w:szCs w:val="24"/>
          <w:lang w:val="zh-CN"/>
        </w:rPr>
        <w:t>、机关事业单位基本养老保险缴费335449.87</w:t>
      </w:r>
      <w:r>
        <w:rPr>
          <w:rFonts w:hint="eastAsia" w:ascii="宋体" w:hAnsi="宋体"/>
          <w:color w:val="auto"/>
          <w:sz w:val="24"/>
          <w:szCs w:val="24"/>
          <w:lang w:val="en-US" w:eastAsia="zh-CN"/>
        </w:rPr>
        <w:t>元</w:t>
      </w:r>
      <w:r>
        <w:rPr>
          <w:rFonts w:hint="eastAsia" w:ascii="宋体" w:hAnsi="宋体"/>
          <w:color w:val="auto"/>
          <w:sz w:val="24"/>
          <w:szCs w:val="24"/>
          <w:lang w:val="zh-CN"/>
        </w:rPr>
        <w:t>、</w:t>
      </w:r>
      <w:r>
        <w:rPr>
          <w:rFonts w:hint="eastAsia" w:ascii="宋体" w:hAnsi="宋体"/>
          <w:color w:val="auto"/>
          <w:sz w:val="24"/>
          <w:szCs w:val="24"/>
          <w:lang w:val="en-US" w:eastAsia="zh-CN"/>
        </w:rPr>
        <w:t>医保缴费134263.2元、 其他社会保障缴费6937.68元、住房公积金227000.37元、其他工资福利支出51600元</w:t>
      </w:r>
      <w:r>
        <w:rPr>
          <w:rFonts w:hint="eastAsia" w:ascii="宋体" w:hAnsi="宋体"/>
          <w:color w:val="auto"/>
          <w:sz w:val="24"/>
          <w:szCs w:val="24"/>
          <w:lang w:val="zh-CN"/>
        </w:rPr>
        <w:t>。</w:t>
      </w:r>
    </w:p>
    <w:p w14:paraId="674B9087">
      <w:pPr>
        <w:spacing w:before="100" w:beforeLines="0" w:after="100" w:afterLines="0"/>
        <w:jc w:val="left"/>
        <w:rPr>
          <w:rFonts w:hint="eastAsia" w:ascii="宋体" w:hAnsi="宋体"/>
          <w:color w:val="auto"/>
          <w:sz w:val="24"/>
          <w:szCs w:val="24"/>
          <w:lang w:val="zh-CN" w:eastAsia="zh-CN"/>
        </w:rPr>
      </w:pPr>
      <w:r>
        <w:rPr>
          <w:rFonts w:hint="eastAsia" w:ascii="宋体" w:hAnsi="宋体"/>
          <w:b/>
          <w:color w:val="auto"/>
          <w:sz w:val="24"/>
          <w:szCs w:val="24"/>
          <w:lang w:val="zh-CN"/>
        </w:rPr>
        <w:t>公用经费</w:t>
      </w:r>
      <w:r>
        <w:rPr>
          <w:rFonts w:hint="eastAsia" w:ascii="宋体" w:hAnsi="宋体"/>
          <w:color w:val="auto"/>
          <w:sz w:val="24"/>
          <w:szCs w:val="24"/>
          <w:lang w:val="zh-CN"/>
        </w:rPr>
        <w:t>2.24万元,较上年决算数减少40.8万元,下降94.8%,</w:t>
      </w:r>
      <w:r>
        <w:rPr>
          <w:rFonts w:hint="eastAsia" w:ascii="宋体" w:hAnsi="宋体"/>
          <w:color w:val="auto"/>
          <w:sz w:val="24"/>
          <w:szCs w:val="24"/>
          <w:lang w:val="zh-CN" w:eastAsia="zh-CN"/>
        </w:rPr>
        <w:t>主要原因是</w:t>
      </w:r>
      <w:r>
        <w:rPr>
          <w:rFonts w:hint="eastAsia" w:ascii="宋体" w:hAnsi="宋体"/>
          <w:color w:val="auto"/>
          <w:sz w:val="24"/>
          <w:szCs w:val="24"/>
          <w:lang w:val="en-US" w:eastAsia="zh-CN"/>
        </w:rPr>
        <w:t>幼儿人数减少，经费数减少</w:t>
      </w:r>
      <w:r>
        <w:rPr>
          <w:rFonts w:hint="eastAsia" w:ascii="宋体" w:hAnsi="宋体"/>
          <w:color w:val="auto"/>
          <w:sz w:val="24"/>
          <w:szCs w:val="24"/>
          <w:lang w:val="zh-CN" w:eastAsia="zh-CN"/>
        </w:rPr>
        <w:t>。公用经费用途主要包括</w:t>
      </w:r>
      <w:r>
        <w:rPr>
          <w:rFonts w:hint="eastAsia" w:ascii="宋体" w:hAnsi="宋体"/>
          <w:color w:val="auto"/>
          <w:sz w:val="24"/>
          <w:szCs w:val="24"/>
          <w:lang w:val="en-US" w:eastAsia="zh-CN"/>
        </w:rPr>
        <w:t>办公费285698.73元、因数费55366、电费6940元、取暖费24712.77元、差旅费3727.5元、维修费40000元、工会经费22364.57元</w:t>
      </w:r>
      <w:r>
        <w:rPr>
          <w:rFonts w:hint="eastAsia" w:ascii="宋体" w:hAnsi="宋体"/>
          <w:color w:val="auto"/>
          <w:sz w:val="24"/>
          <w:szCs w:val="24"/>
          <w:lang w:val="zh-CN" w:eastAsia="zh-CN"/>
        </w:rPr>
        <w:t>。</w:t>
      </w:r>
    </w:p>
    <w:p w14:paraId="4AA28522">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七、政府性基金预算财政拨款收支决算情况说明</w:t>
      </w:r>
    </w:p>
    <w:p w14:paraId="1F6CEC30">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本部门2023年度无政府性基金收入,也没有使用政府性基金安排的支出。</w:t>
      </w:r>
    </w:p>
    <w:p w14:paraId="13CE0132">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八、国有资本经营预算财政拨款支出情况说明</w:t>
      </w:r>
    </w:p>
    <w:p w14:paraId="50A57DE0">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本部门2023年度没有使用国有资本经营预算安排的支出</w:t>
      </w:r>
    </w:p>
    <w:p w14:paraId="6BC240F9">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九</w:t>
      </w:r>
      <w:r>
        <w:rPr>
          <w:rFonts w:hint="eastAsia" w:ascii="宋体" w:hAnsi="宋体"/>
          <w:b/>
          <w:bCs/>
          <w:color w:val="auto"/>
          <w:sz w:val="24"/>
          <w:szCs w:val="24"/>
          <w:lang w:val="zh-CN" w:eastAsia="zh-CN"/>
        </w:rPr>
        <w:t>、财政拨款</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三公</w:t>
      </w:r>
      <w:r>
        <w:rPr>
          <w:rFonts w:hint="default" w:ascii="宋体" w:hAnsi="宋体"/>
          <w:b/>
          <w:bCs/>
          <w:color w:val="auto"/>
          <w:sz w:val="24"/>
          <w:szCs w:val="24"/>
          <w:lang w:val="zh-CN" w:eastAsia="zh-CN"/>
        </w:rPr>
        <w:t>”</w:t>
      </w:r>
      <w:r>
        <w:rPr>
          <w:rFonts w:hint="eastAsia" w:ascii="宋体" w:hAnsi="宋体"/>
          <w:b/>
          <w:bCs/>
          <w:color w:val="auto"/>
          <w:sz w:val="24"/>
          <w:szCs w:val="24"/>
          <w:lang w:val="zh-CN" w:eastAsia="zh-CN"/>
        </w:rPr>
        <w:t>经费支出决算情况说明</w:t>
      </w:r>
    </w:p>
    <w:p w14:paraId="3B9ECDDD">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我单位属于</w:t>
      </w:r>
      <w:r>
        <w:rPr>
          <w:rFonts w:hint="eastAsia" w:ascii="宋体" w:hAnsi="宋体"/>
          <w:color w:val="auto"/>
          <w:sz w:val="24"/>
          <w:szCs w:val="24"/>
          <w:lang w:val="en-US" w:eastAsia="zh-CN"/>
        </w:rPr>
        <w:t>财政全额拨款事业单位</w:t>
      </w:r>
      <w:r>
        <w:rPr>
          <w:rFonts w:hint="eastAsia" w:ascii="宋体" w:hAnsi="宋体"/>
          <w:color w:val="auto"/>
          <w:sz w:val="24"/>
          <w:szCs w:val="24"/>
          <w:lang w:val="zh-CN"/>
        </w:rPr>
        <w:t>,</w:t>
      </w:r>
      <w:r>
        <w:rPr>
          <w:rFonts w:hint="eastAsia" w:ascii="宋体" w:hAnsi="宋体"/>
          <w:color w:val="auto"/>
          <w:sz w:val="24"/>
          <w:szCs w:val="24"/>
          <w:lang w:val="en-US" w:eastAsia="zh-CN"/>
        </w:rPr>
        <w:t>不涉及</w:t>
      </w:r>
      <w:r>
        <w:rPr>
          <w:rFonts w:hint="default" w:ascii="宋体" w:hAnsi="宋体"/>
          <w:color w:val="auto"/>
          <w:sz w:val="24"/>
          <w:szCs w:val="24"/>
          <w:lang w:val="zh-CN"/>
        </w:rPr>
        <w:t>“</w:t>
      </w:r>
      <w:r>
        <w:rPr>
          <w:rFonts w:hint="eastAsia" w:ascii="宋体" w:hAnsi="宋体"/>
          <w:color w:val="auto"/>
          <w:sz w:val="24"/>
          <w:szCs w:val="24"/>
          <w:lang w:val="zh-CN"/>
        </w:rPr>
        <w:t>三公</w:t>
      </w:r>
      <w:r>
        <w:rPr>
          <w:rFonts w:hint="default" w:ascii="宋体" w:hAnsi="宋体"/>
          <w:color w:val="auto"/>
          <w:sz w:val="24"/>
          <w:szCs w:val="24"/>
          <w:lang w:val="zh-CN"/>
        </w:rPr>
        <w:t>”</w:t>
      </w:r>
      <w:r>
        <w:rPr>
          <w:rFonts w:hint="eastAsia" w:ascii="宋体" w:hAnsi="宋体"/>
          <w:color w:val="auto"/>
          <w:sz w:val="24"/>
          <w:szCs w:val="24"/>
          <w:lang w:val="zh-CN"/>
        </w:rPr>
        <w:t>经费</w:t>
      </w:r>
      <w:r>
        <w:rPr>
          <w:rFonts w:hint="eastAsia" w:ascii="宋体" w:hAnsi="宋体"/>
          <w:color w:val="auto"/>
          <w:sz w:val="24"/>
          <w:szCs w:val="24"/>
          <w:lang w:val="en-US" w:eastAsia="zh-CN"/>
        </w:rPr>
        <w:t>支出</w:t>
      </w:r>
      <w:r>
        <w:rPr>
          <w:rFonts w:hint="eastAsia" w:ascii="宋体" w:hAnsi="宋体"/>
          <w:color w:val="auto"/>
          <w:sz w:val="24"/>
          <w:szCs w:val="24"/>
          <w:lang w:val="zh-CN"/>
        </w:rPr>
        <w:t>。</w:t>
      </w:r>
    </w:p>
    <w:p w14:paraId="7B83F4DD">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w:t>
      </w:r>
      <w:r>
        <w:rPr>
          <w:rFonts w:hint="eastAsia" w:ascii="宋体" w:hAnsi="宋体"/>
          <w:b/>
          <w:bCs/>
          <w:color w:val="auto"/>
          <w:sz w:val="24"/>
          <w:szCs w:val="24"/>
          <w:lang w:val="zh-CN" w:eastAsia="zh-CN"/>
        </w:rPr>
        <w:t>、机关运行经费支出情况说明</w:t>
      </w:r>
    </w:p>
    <w:p w14:paraId="32F270FC">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我单位2023年度无机关运行相关经费。</w:t>
      </w:r>
    </w:p>
    <w:p w14:paraId="6A6CFEA3">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十一、政府采购支出情况说明</w:t>
      </w:r>
    </w:p>
    <w:p w14:paraId="156B6B93">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我单位2023年度无政府采购相关经费。</w:t>
      </w:r>
    </w:p>
    <w:p w14:paraId="0B9EAE2C">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en-US" w:eastAsia="zh-CN"/>
        </w:rPr>
        <w:t>十二</w:t>
      </w:r>
      <w:r>
        <w:rPr>
          <w:rFonts w:hint="eastAsia" w:ascii="宋体" w:hAnsi="宋体"/>
          <w:b/>
          <w:bCs/>
          <w:color w:val="auto"/>
          <w:sz w:val="24"/>
          <w:szCs w:val="24"/>
          <w:lang w:val="zh-CN" w:eastAsia="zh-CN"/>
        </w:rPr>
        <w:t>、国有资产占用情况说明</w:t>
      </w:r>
    </w:p>
    <w:p w14:paraId="2869403A">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截至2023年12月31日,本部门共有车辆0辆,其中,副部(省)级及以上领导用车0辆、主要领导干部用车0辆、机要通信用车0辆、应急保障用车0辆、执法执勤用车0辆,特种专业技术用车0辆,离退休干部用车0辆,其他用车0辆。单价100万元(含)以上设备0台(套)。</w:t>
      </w:r>
    </w:p>
    <w:p w14:paraId="72F567F5">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十三、其他需要说明的情况</w:t>
      </w:r>
    </w:p>
    <w:p w14:paraId="1C3895B3">
      <w:pPr>
        <w:spacing w:before="100" w:beforeLines="0" w:after="100" w:afterLines="0"/>
        <w:ind w:firstLine="480" w:firstLineChars="200"/>
        <w:jc w:val="left"/>
        <w:rPr>
          <w:rFonts w:hint="eastAsia" w:ascii="宋体" w:hAnsi="宋体"/>
          <w:color w:val="auto"/>
          <w:sz w:val="24"/>
          <w:szCs w:val="24"/>
          <w:lang w:val="zh-CN"/>
        </w:rPr>
      </w:pPr>
      <w:r>
        <w:rPr>
          <w:rFonts w:hint="eastAsia" w:ascii="宋体" w:hAnsi="宋体"/>
          <w:color w:val="auto"/>
          <w:sz w:val="24"/>
          <w:szCs w:val="24"/>
          <w:lang w:val="zh-CN"/>
        </w:rPr>
        <w:t>由于决算公开表格中金额数值应当保留两位小数，公开数据为四舍五入计算结果，个别数据合计项与分项之和存在小数点后差额，特此说明。</w:t>
      </w:r>
    </w:p>
    <w:p w14:paraId="57D05CE4">
      <w:pPr>
        <w:spacing w:before="100" w:beforeLines="0" w:after="100" w:afterLines="0"/>
        <w:jc w:val="left"/>
        <w:rPr>
          <w:rFonts w:hint="eastAsia" w:ascii="宋体" w:hAnsi="宋体"/>
          <w:color w:val="FF0000"/>
          <w:sz w:val="24"/>
          <w:szCs w:val="24"/>
          <w:lang w:val="zh-CN"/>
        </w:rPr>
      </w:pPr>
    </w:p>
    <w:p w14:paraId="432BCC93">
      <w:pPr>
        <w:spacing w:before="100" w:beforeLines="0" w:after="100" w:afterLines="0"/>
        <w:jc w:val="left"/>
        <w:rPr>
          <w:rFonts w:hint="eastAsia" w:ascii="宋体" w:hAnsi="宋体"/>
          <w:color w:val="auto"/>
          <w:sz w:val="24"/>
          <w:szCs w:val="24"/>
          <w:lang w:val="zh-CN"/>
        </w:rPr>
      </w:pPr>
    </w:p>
    <w:p w14:paraId="2D1993D4">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第四部分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预算绩效情况说明</w:t>
      </w:r>
    </w:p>
    <w:p w14:paraId="1FB7DB72">
      <w:pPr>
        <w:spacing w:before="100" w:beforeLines="0" w:after="100" w:afterLines="0"/>
        <w:jc w:val="left"/>
        <w:rPr>
          <w:rFonts w:hint="eastAsia" w:ascii="宋体" w:hAnsi="宋体"/>
          <w:color w:val="auto"/>
          <w:sz w:val="24"/>
          <w:szCs w:val="24"/>
          <w:lang w:val="zh-CN"/>
        </w:rPr>
      </w:pPr>
    </w:p>
    <w:p w14:paraId="45363394">
      <w:pPr>
        <w:numPr>
          <w:ilvl w:val="0"/>
          <w:numId w:val="3"/>
        </w:num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预算绩效管理工作开展情况</w:t>
      </w:r>
    </w:p>
    <w:p w14:paraId="2A0CF5B2">
      <w:pPr>
        <w:numPr>
          <w:ilvl w:val="0"/>
          <w:numId w:val="0"/>
        </w:numPr>
        <w:spacing w:before="100" w:beforeLines="0" w:after="100" w:afterLines="0"/>
        <w:ind w:firstLine="480" w:firstLineChars="200"/>
        <w:jc w:val="left"/>
        <w:rPr>
          <w:rFonts w:hint="eastAsia" w:ascii="仿宋_GB2312" w:hAnsi="仿宋_GB2312" w:eastAsia="仿宋_GB2312" w:cs="仿宋_GB2312"/>
          <w:color w:val="auto"/>
          <w:sz w:val="32"/>
          <w:szCs w:val="32"/>
          <w:lang w:val="zh-CN"/>
        </w:rPr>
      </w:pPr>
      <w:r>
        <w:rPr>
          <w:rFonts w:hint="eastAsia" w:ascii="宋体" w:hAnsi="宋体" w:eastAsia="宋体" w:cs="宋体"/>
          <w:color w:val="000000"/>
          <w:kern w:val="0"/>
          <w:sz w:val="24"/>
          <w:szCs w:val="24"/>
          <w:lang w:val="en-US"/>
        </w:rPr>
        <w:t>根据预算绩效管理要求,本部门对</w:t>
      </w:r>
      <w:r>
        <w:rPr>
          <w:rFonts w:hint="eastAsia" w:ascii="宋体" w:hAnsi="宋体" w:eastAsia="宋体" w:cs="宋体"/>
          <w:color w:val="000000"/>
          <w:kern w:val="0"/>
          <w:sz w:val="24"/>
          <w:szCs w:val="24"/>
          <w:lang w:val="en-US" w:eastAsia="zh-CN"/>
        </w:rPr>
        <w:t>2023</w:t>
      </w:r>
      <w:r>
        <w:rPr>
          <w:rFonts w:hint="eastAsia" w:ascii="宋体" w:hAnsi="宋体" w:eastAsia="宋体" w:cs="宋体"/>
          <w:color w:val="000000"/>
          <w:kern w:val="0"/>
          <w:sz w:val="24"/>
          <w:szCs w:val="24"/>
          <w:lang w:val="en-US"/>
        </w:rPr>
        <w:t>年度一般公共预算项目支出全面开展绩效自评,其中,一级项目</w:t>
      </w:r>
      <w:r>
        <w:rPr>
          <w:rFonts w:hint="eastAsia" w:ascii="宋体" w:hAnsi="宋体" w:cs="宋体"/>
          <w:color w:val="000000"/>
          <w:kern w:val="0"/>
          <w:sz w:val="24"/>
          <w:szCs w:val="24"/>
          <w:lang w:val="en-US" w:eastAsia="zh-CN"/>
        </w:rPr>
        <w:t>5</w:t>
      </w:r>
      <w:r>
        <w:rPr>
          <w:rFonts w:hint="eastAsia" w:ascii="宋体" w:hAnsi="宋体" w:eastAsia="宋体" w:cs="宋体"/>
          <w:color w:val="000000"/>
          <w:kern w:val="0"/>
          <w:sz w:val="24"/>
          <w:szCs w:val="24"/>
          <w:lang w:val="en-US"/>
        </w:rPr>
        <w:t>个,二级项目</w:t>
      </w:r>
      <w:r>
        <w:rPr>
          <w:rFonts w:hint="eastAsia" w:ascii="宋体" w:hAnsi="宋体" w:eastAsia="宋体" w:cs="宋体"/>
          <w:color w:val="000000"/>
          <w:kern w:val="0"/>
          <w:sz w:val="24"/>
          <w:szCs w:val="24"/>
          <w:lang w:val="en-US" w:eastAsia="zh-CN"/>
        </w:rPr>
        <w:t>0</w:t>
      </w:r>
      <w:r>
        <w:rPr>
          <w:rFonts w:hint="eastAsia" w:ascii="宋体" w:hAnsi="宋体" w:eastAsia="宋体" w:cs="宋体"/>
          <w:color w:val="000000"/>
          <w:kern w:val="0"/>
          <w:sz w:val="24"/>
          <w:szCs w:val="24"/>
          <w:lang w:val="en-US"/>
        </w:rPr>
        <w:t>个,共涉及资金</w:t>
      </w:r>
      <w:r>
        <w:rPr>
          <w:rFonts w:hint="eastAsia" w:ascii="宋体" w:hAnsi="宋体" w:eastAsia="宋体" w:cs="宋体"/>
          <w:color w:val="000000"/>
          <w:kern w:val="0"/>
          <w:sz w:val="24"/>
          <w:szCs w:val="24"/>
          <w:lang w:val="en-US" w:eastAsia="zh-CN"/>
        </w:rPr>
        <w:t>400.81万元</w:t>
      </w:r>
      <w:r>
        <w:rPr>
          <w:rFonts w:hint="eastAsia" w:ascii="宋体" w:hAnsi="宋体" w:eastAsia="宋体" w:cs="宋体"/>
          <w:color w:val="000000"/>
          <w:kern w:val="0"/>
          <w:sz w:val="24"/>
          <w:szCs w:val="24"/>
          <w:lang w:val="en-US"/>
        </w:rPr>
        <w:t>,占一般公共预算项目支出总额的</w:t>
      </w:r>
      <w:r>
        <w:rPr>
          <w:rFonts w:hint="eastAsia" w:ascii="宋体" w:hAnsi="宋体" w:cs="宋体"/>
          <w:color w:val="000000"/>
          <w:kern w:val="0"/>
          <w:sz w:val="24"/>
          <w:szCs w:val="24"/>
          <w:lang w:val="en-US" w:eastAsia="zh-CN"/>
        </w:rPr>
        <w:t>100</w:t>
      </w:r>
      <w:r>
        <w:rPr>
          <w:rFonts w:hint="eastAsia" w:ascii="宋体" w:hAnsi="宋体" w:eastAsia="宋体" w:cs="宋体"/>
          <w:color w:val="000000"/>
          <w:kern w:val="0"/>
          <w:sz w:val="24"/>
          <w:szCs w:val="24"/>
          <w:lang w:val="en-US"/>
        </w:rPr>
        <w:t>%。</w:t>
      </w:r>
    </w:p>
    <w:p w14:paraId="1502A334">
      <w:pPr>
        <w:numPr>
          <w:ilvl w:val="0"/>
          <w:numId w:val="3"/>
        </w:numPr>
        <w:spacing w:before="100" w:beforeLines="0" w:after="100" w:afterLines="0"/>
        <w:ind w:left="0" w:leftChars="0" w:firstLine="0" w:firstLineChar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绩效自评结果</w:t>
      </w:r>
    </w:p>
    <w:p w14:paraId="03CEC9E1">
      <w:pPr>
        <w:numPr>
          <w:ilvl w:val="0"/>
          <w:numId w:val="0"/>
        </w:numPr>
        <w:spacing w:before="100" w:beforeLines="0" w:after="100" w:afterLines="0"/>
        <w:ind w:firstLine="480" w:firstLineChars="200"/>
        <w:jc w:val="left"/>
        <w:rPr>
          <w:rFonts w:hint="eastAsia" w:ascii="宋体" w:hAnsi="宋体" w:eastAsia="宋体" w:cs="宋体"/>
          <w:color w:val="000000"/>
          <w:kern w:val="0"/>
          <w:sz w:val="24"/>
          <w:szCs w:val="24"/>
          <w:highlight w:val="none"/>
          <w:lang w:val="en-US"/>
        </w:rPr>
      </w:pPr>
      <w:r>
        <w:rPr>
          <w:rFonts w:hint="eastAsia" w:ascii="宋体" w:hAnsi="宋体" w:eastAsia="宋体" w:cs="宋体"/>
          <w:color w:val="000000"/>
          <w:kern w:val="0"/>
          <w:sz w:val="24"/>
          <w:szCs w:val="24"/>
          <w:highlight w:val="none"/>
          <w:lang w:val="en-US"/>
        </w:rPr>
        <w:t>我部门在</w:t>
      </w:r>
      <w:r>
        <w:rPr>
          <w:rFonts w:hint="eastAsia" w:ascii="宋体" w:hAnsi="宋体" w:eastAsia="宋体" w:cs="宋体"/>
          <w:color w:val="000000"/>
          <w:kern w:val="0"/>
          <w:sz w:val="24"/>
          <w:szCs w:val="24"/>
          <w:highlight w:val="none"/>
          <w:lang w:val="en-US" w:eastAsia="zh-CN"/>
        </w:rPr>
        <w:t>2023</w:t>
      </w:r>
      <w:r>
        <w:rPr>
          <w:rFonts w:hint="eastAsia" w:ascii="宋体" w:hAnsi="宋体" w:eastAsia="宋体" w:cs="宋体"/>
          <w:color w:val="000000"/>
          <w:kern w:val="0"/>
          <w:sz w:val="24"/>
          <w:szCs w:val="24"/>
          <w:highlight w:val="none"/>
          <w:lang w:val="en-US"/>
        </w:rPr>
        <w:t>年度部门决算中反映</w:t>
      </w:r>
      <w:r>
        <w:rPr>
          <w:rFonts w:hint="eastAsia" w:ascii="宋体" w:hAnsi="宋体"/>
          <w:color w:val="auto"/>
          <w:sz w:val="24"/>
          <w:szCs w:val="24"/>
          <w:lang w:val="zh-CN"/>
        </w:rPr>
        <w:t>一般公共服务支出、教育支出、社会保障和就业支出、卫生健康支出、住房保障支出</w:t>
      </w:r>
      <w:r>
        <w:rPr>
          <w:rFonts w:hint="eastAsia" w:ascii="宋体" w:hAnsi="宋体" w:eastAsia="宋体" w:cs="宋体"/>
          <w:color w:val="000000"/>
          <w:kern w:val="0"/>
          <w:sz w:val="24"/>
          <w:szCs w:val="24"/>
          <w:highlight w:val="none"/>
          <w:lang w:val="en-US"/>
        </w:rPr>
        <w:t>等</w:t>
      </w:r>
      <w:r>
        <w:rPr>
          <w:rFonts w:hint="eastAsia" w:ascii="宋体" w:hAnsi="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lang w:val="en-US"/>
        </w:rPr>
        <w:t>个项目绩效自评结果。</w:t>
      </w:r>
    </w:p>
    <w:p w14:paraId="4EA1AA97">
      <w:pPr>
        <w:keepNext/>
        <w:keepLines/>
        <w:suppressLineNumbers/>
        <w:spacing w:beforeLines="0" w:afterLines="0"/>
        <w:ind w:firstLine="480" w:firstLineChars="200"/>
        <w:jc w:val="both"/>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rPr>
        <w:t>1.“</w:t>
      </w:r>
      <w:r>
        <w:rPr>
          <w:rFonts w:hint="eastAsia" w:ascii="宋体" w:hAnsi="宋体"/>
          <w:color w:val="auto"/>
          <w:sz w:val="24"/>
          <w:szCs w:val="24"/>
          <w:lang w:val="zh-CN"/>
        </w:rPr>
        <w:t>一般公共服务支出</w:t>
      </w:r>
      <w:r>
        <w:rPr>
          <w:rFonts w:hint="eastAsia" w:ascii="宋体" w:hAnsi="宋体" w:eastAsia="宋体" w:cs="宋体"/>
          <w:color w:val="000000" w:themeColor="text1"/>
          <w:kern w:val="0"/>
          <w:sz w:val="24"/>
          <w:szCs w:val="24"/>
          <w:lang w:val="en-US" w:eastAsia="zh-CN"/>
          <w14:textFill>
            <w14:solidFill>
              <w14:schemeClr w14:val="tx1"/>
            </w14:solidFill>
          </w14:textFill>
        </w:rPr>
        <w:t>”</w:t>
      </w:r>
      <w:r>
        <w:rPr>
          <w:rFonts w:hint="eastAsia" w:ascii="宋体" w:hAnsi="宋体" w:eastAsia="宋体" w:cs="宋体"/>
          <w:color w:val="000000"/>
          <w:kern w:val="0"/>
          <w:sz w:val="24"/>
          <w:szCs w:val="24"/>
          <w:lang w:val="en-US"/>
        </w:rPr>
        <w:t>项目绩效自评情况：根据年初设定的绩效目标,项目绩效自评得分为</w:t>
      </w:r>
      <w:r>
        <w:rPr>
          <w:rFonts w:hint="eastAsia" w:ascii="宋体" w:hAnsi="宋体" w:eastAsia="宋体" w:cs="宋体"/>
          <w:color w:val="000000"/>
          <w:kern w:val="0"/>
          <w:sz w:val="24"/>
          <w:szCs w:val="24"/>
          <w:lang w:val="en-US" w:eastAsia="zh-CN"/>
        </w:rPr>
        <w:t>60</w:t>
      </w:r>
      <w:r>
        <w:rPr>
          <w:rFonts w:hint="eastAsia" w:ascii="宋体" w:hAnsi="宋体" w:eastAsia="宋体" w:cs="宋体"/>
          <w:color w:val="000000"/>
          <w:kern w:val="0"/>
          <w:sz w:val="24"/>
          <w:szCs w:val="24"/>
          <w:lang w:val="en-US"/>
        </w:rPr>
        <w:t>分。项目全年预算数为</w:t>
      </w:r>
      <w:r>
        <w:rPr>
          <w:rFonts w:hint="eastAsia" w:ascii="宋体" w:hAnsi="宋体" w:eastAsia="宋体" w:cs="宋体"/>
          <w:color w:val="000000"/>
          <w:kern w:val="0"/>
          <w:sz w:val="24"/>
          <w:szCs w:val="24"/>
          <w:lang w:val="en-US" w:eastAsia="zh-CN"/>
        </w:rPr>
        <w:t>3.73万元</w:t>
      </w:r>
      <w:r>
        <w:rPr>
          <w:rFonts w:hint="eastAsia" w:ascii="宋体" w:hAnsi="宋体" w:eastAsia="宋体" w:cs="宋体"/>
          <w:color w:val="000000"/>
          <w:kern w:val="0"/>
          <w:sz w:val="24"/>
          <w:szCs w:val="24"/>
          <w:lang w:val="en-US"/>
        </w:rPr>
        <w:t>,执行数为</w:t>
      </w:r>
      <w:r>
        <w:rPr>
          <w:rFonts w:hint="eastAsia" w:ascii="宋体" w:hAnsi="宋体" w:eastAsia="宋体" w:cs="宋体"/>
          <w:color w:val="000000"/>
          <w:kern w:val="0"/>
          <w:sz w:val="24"/>
          <w:szCs w:val="24"/>
          <w:lang w:val="en-US" w:eastAsia="zh-CN"/>
        </w:rPr>
        <w:t>2.24万元</w:t>
      </w:r>
      <w:r>
        <w:rPr>
          <w:rFonts w:hint="eastAsia" w:ascii="宋体" w:hAnsi="宋体" w:eastAsia="宋体" w:cs="宋体"/>
          <w:color w:val="000000"/>
          <w:kern w:val="0"/>
          <w:sz w:val="24"/>
          <w:szCs w:val="24"/>
          <w:lang w:val="en-US"/>
        </w:rPr>
        <w:t>,完成预算的</w:t>
      </w:r>
      <w:r>
        <w:rPr>
          <w:rFonts w:hint="eastAsia" w:ascii="宋体" w:hAnsi="宋体" w:eastAsia="宋体" w:cs="宋体"/>
          <w:color w:val="000000"/>
          <w:kern w:val="0"/>
          <w:sz w:val="24"/>
          <w:szCs w:val="24"/>
          <w:lang w:val="en-US" w:eastAsia="zh-CN"/>
        </w:rPr>
        <w:t>60</w:t>
      </w:r>
      <w:r>
        <w:rPr>
          <w:rFonts w:hint="eastAsia" w:ascii="宋体" w:hAnsi="宋体" w:eastAsia="宋体" w:cs="宋体"/>
          <w:color w:val="000000"/>
          <w:kern w:val="0"/>
          <w:sz w:val="24"/>
          <w:szCs w:val="24"/>
          <w:lang w:val="en-US"/>
        </w:rPr>
        <w:t>%。</w:t>
      </w:r>
    </w:p>
    <w:p w14:paraId="09D086F3">
      <w:pPr>
        <w:keepNext/>
        <w:keepLines/>
        <w:suppressLineNumbers/>
        <w:spacing w:beforeLines="0" w:afterLines="0"/>
        <w:ind w:firstLine="480" w:firstLineChars="200"/>
        <w:jc w:val="both"/>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rPr>
        <w:t>2.“</w:t>
      </w:r>
      <w:r>
        <w:rPr>
          <w:rFonts w:hint="eastAsia" w:ascii="宋体" w:hAnsi="宋体" w:eastAsia="宋体" w:cs="宋体"/>
          <w:color w:val="000000"/>
          <w:kern w:val="0"/>
          <w:sz w:val="24"/>
          <w:szCs w:val="24"/>
          <w:lang w:val="zh-CN"/>
        </w:rPr>
        <w:t>教育支出</w:t>
      </w:r>
      <w:r>
        <w:rPr>
          <w:rFonts w:hint="eastAsia" w:ascii="宋体" w:hAnsi="宋体" w:eastAsia="宋体" w:cs="宋体"/>
          <w:color w:val="000000"/>
          <w:kern w:val="0"/>
          <w:sz w:val="24"/>
          <w:szCs w:val="24"/>
          <w:lang w:val="en-US" w:eastAsia="zh-CN"/>
        </w:rPr>
        <w:t>”项目</w:t>
      </w:r>
      <w:r>
        <w:rPr>
          <w:rFonts w:hint="eastAsia" w:ascii="宋体" w:hAnsi="宋体" w:eastAsia="宋体" w:cs="宋体"/>
          <w:color w:val="000000"/>
          <w:kern w:val="0"/>
          <w:sz w:val="24"/>
          <w:szCs w:val="24"/>
          <w:lang w:val="en-US"/>
        </w:rPr>
        <w:t>绩效自评情况：根据年初设定的绩效目标,项目绩效自评得分为XX分。项目全年预算数为</w:t>
      </w:r>
      <w:r>
        <w:rPr>
          <w:rFonts w:hint="eastAsia" w:ascii="宋体" w:hAnsi="宋体" w:eastAsia="宋体" w:cs="宋体"/>
          <w:color w:val="000000"/>
          <w:kern w:val="0"/>
          <w:sz w:val="24"/>
          <w:szCs w:val="24"/>
          <w:lang w:val="en-US" w:eastAsia="zh-CN"/>
        </w:rPr>
        <w:t>265.67万元</w:t>
      </w:r>
      <w:r>
        <w:rPr>
          <w:rFonts w:hint="eastAsia" w:ascii="宋体" w:hAnsi="宋体" w:eastAsia="宋体" w:cs="宋体"/>
          <w:color w:val="000000"/>
          <w:kern w:val="0"/>
          <w:sz w:val="24"/>
          <w:szCs w:val="24"/>
          <w:lang w:val="en-US"/>
        </w:rPr>
        <w:t>,执行数为</w:t>
      </w:r>
      <w:r>
        <w:rPr>
          <w:rFonts w:hint="eastAsia" w:ascii="宋体" w:hAnsi="宋体" w:eastAsia="宋体" w:cs="宋体"/>
          <w:color w:val="000000"/>
          <w:kern w:val="0"/>
          <w:sz w:val="24"/>
          <w:szCs w:val="24"/>
          <w:lang w:val="en-US" w:eastAsia="zh-CN"/>
        </w:rPr>
        <w:t>326.33万元</w:t>
      </w:r>
      <w:r>
        <w:rPr>
          <w:rFonts w:hint="eastAsia" w:ascii="宋体" w:hAnsi="宋体" w:eastAsia="宋体" w:cs="宋体"/>
          <w:color w:val="000000"/>
          <w:kern w:val="0"/>
          <w:sz w:val="24"/>
          <w:szCs w:val="24"/>
          <w:lang w:val="en-US"/>
        </w:rPr>
        <w:t>,完成预算的</w:t>
      </w:r>
      <w:r>
        <w:rPr>
          <w:rFonts w:hint="eastAsia" w:ascii="宋体" w:hAnsi="宋体" w:eastAsia="宋体" w:cs="宋体"/>
          <w:color w:val="000000"/>
          <w:kern w:val="0"/>
          <w:sz w:val="24"/>
          <w:szCs w:val="24"/>
          <w:lang w:val="en-US" w:eastAsia="zh-CN"/>
        </w:rPr>
        <w:t>122.83</w:t>
      </w:r>
      <w:r>
        <w:rPr>
          <w:rFonts w:hint="eastAsia" w:ascii="宋体" w:hAnsi="宋体" w:eastAsia="宋体" w:cs="宋体"/>
          <w:color w:val="000000"/>
          <w:kern w:val="0"/>
          <w:sz w:val="24"/>
          <w:szCs w:val="24"/>
          <w:lang w:val="en-US"/>
        </w:rPr>
        <w:t>%。</w:t>
      </w:r>
    </w:p>
    <w:p w14:paraId="6C397EDE">
      <w:pPr>
        <w:spacing w:before="100" w:beforeLines="0" w:after="100" w:afterLines="0"/>
        <w:jc w:val="left"/>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三、部门绩效评价结果</w:t>
      </w:r>
    </w:p>
    <w:p w14:paraId="2A863AD5">
      <w:pPr>
        <w:spacing w:before="100" w:beforeLines="0" w:after="100" w:afterLines="0"/>
        <w:jc w:val="center"/>
        <w:rPr>
          <w:rFonts w:hint="eastAsia" w:ascii="宋体" w:hAnsi="宋体"/>
          <w:b/>
          <w:bCs/>
          <w:color w:val="auto"/>
          <w:sz w:val="24"/>
          <w:szCs w:val="24"/>
          <w:lang w:val="zh-CN" w:eastAsia="zh-CN"/>
        </w:rPr>
      </w:pPr>
      <w:r>
        <w:rPr>
          <w:rFonts w:hint="eastAsia" w:ascii="宋体" w:hAnsi="宋体"/>
          <w:b/>
          <w:bCs/>
          <w:color w:val="auto"/>
          <w:sz w:val="24"/>
          <w:szCs w:val="24"/>
          <w:lang w:val="zh-CN" w:eastAsia="zh-CN"/>
        </w:rPr>
        <w:t>第五部分</w:t>
      </w:r>
      <w:r>
        <w:rPr>
          <w:rFonts w:hint="eastAsia" w:ascii="宋体" w:hAnsi="宋体"/>
          <w:b/>
          <w:bCs/>
          <w:color w:val="auto"/>
          <w:sz w:val="24"/>
          <w:szCs w:val="24"/>
          <w:lang w:val="en-US" w:eastAsia="zh-CN"/>
        </w:rPr>
        <w:t xml:space="preserve">  </w:t>
      </w:r>
      <w:r>
        <w:rPr>
          <w:rFonts w:hint="eastAsia" w:ascii="宋体" w:hAnsi="宋体"/>
          <w:b/>
          <w:bCs/>
          <w:color w:val="auto"/>
          <w:sz w:val="24"/>
          <w:szCs w:val="24"/>
          <w:lang w:val="zh-CN" w:eastAsia="zh-CN"/>
        </w:rPr>
        <w:t>名词解释</w:t>
      </w:r>
    </w:p>
    <w:p w14:paraId="6FDBE6D3">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一、财政拨款收入</w:t>
      </w:r>
      <w:r>
        <w:rPr>
          <w:rFonts w:hint="eastAsia" w:ascii="宋体" w:hAnsi="宋体" w:eastAsia="宋体" w:cs="宋体"/>
          <w:color w:val="auto"/>
          <w:sz w:val="24"/>
          <w:szCs w:val="24"/>
          <w:lang w:val="zh-CN"/>
        </w:rPr>
        <w:t>：指本年度从同级财政部门取得的财政拨款,包括一般公共预算财政拨款、政府性基金预算财政拨款和国有资本经营预算财政拨款。</w:t>
      </w:r>
    </w:p>
    <w:p w14:paraId="1166F02F">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二、事业收入</w:t>
      </w:r>
      <w:r>
        <w:rPr>
          <w:rFonts w:hint="eastAsia" w:ascii="宋体" w:hAnsi="宋体" w:eastAsia="宋体" w:cs="宋体"/>
          <w:color w:val="auto"/>
          <w:sz w:val="24"/>
          <w:szCs w:val="24"/>
          <w:lang w:val="zh-CN"/>
        </w:rPr>
        <w:t>：指事业单位开展专业业务活动及其辅助活动取得的收入。</w:t>
      </w:r>
    </w:p>
    <w:p w14:paraId="1E92DA1D">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三、经营收入</w:t>
      </w:r>
      <w:r>
        <w:rPr>
          <w:rFonts w:hint="eastAsia" w:ascii="宋体" w:hAnsi="宋体" w:eastAsia="宋体" w:cs="宋体"/>
          <w:color w:val="auto"/>
          <w:sz w:val="24"/>
          <w:szCs w:val="24"/>
          <w:lang w:val="zh-CN"/>
        </w:rPr>
        <w:t>：指事业单位在专业业务活动及其辅助活动之外开展非独立核算经营活动取得的收入。</w:t>
      </w:r>
    </w:p>
    <w:p w14:paraId="782E8023">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四、其他收入</w:t>
      </w:r>
      <w:r>
        <w:rPr>
          <w:rFonts w:hint="eastAsia" w:ascii="宋体" w:hAnsi="宋体" w:eastAsia="宋体" w:cs="宋体"/>
          <w:color w:val="auto"/>
          <w:sz w:val="24"/>
          <w:szCs w:val="24"/>
          <w:lang w:val="zh-CN"/>
        </w:rPr>
        <w:t>：指除上述“财政拨款收入”“事业收入”、“经营收入”以外的收入。</w:t>
      </w:r>
    </w:p>
    <w:p w14:paraId="59531E60">
      <w:pPr>
        <w:spacing w:before="100" w:beforeLines="0" w:after="100" w:afterLines="0"/>
        <w:jc w:val="both"/>
        <w:rPr>
          <w:rFonts w:hint="eastAsia" w:ascii="宋体" w:hAnsi="宋体" w:eastAsia="宋体" w:cs="宋体"/>
          <w:b w:val="0"/>
          <w:bCs w:val="0"/>
          <w:color w:val="auto"/>
          <w:sz w:val="24"/>
          <w:szCs w:val="24"/>
          <w:lang w:val="zh-CN"/>
        </w:rPr>
      </w:pPr>
      <w:r>
        <w:rPr>
          <w:rFonts w:hint="eastAsia" w:ascii="宋体" w:hAnsi="宋体" w:eastAsia="宋体" w:cs="宋体"/>
          <w:b/>
          <w:bCs/>
          <w:color w:val="auto"/>
          <w:sz w:val="24"/>
          <w:szCs w:val="24"/>
          <w:lang w:val="zh-CN"/>
        </w:rPr>
        <w:t>五、使用非财政拨款结余（含专用结余）：</w:t>
      </w:r>
      <w:r>
        <w:rPr>
          <w:rFonts w:hint="eastAsia" w:ascii="宋体" w:hAnsi="宋体" w:eastAsia="宋体" w:cs="宋体"/>
          <w:b w:val="0"/>
          <w:bCs w:val="0"/>
          <w:color w:val="auto"/>
          <w:sz w:val="24"/>
          <w:szCs w:val="24"/>
          <w:lang w:val="zh-CN"/>
        </w:rPr>
        <w:t>指事业单位按照预算管理要求使用非财政拨款结余弥补收支差额的金额，以及使用专用结余安排支出的金额。</w:t>
      </w:r>
    </w:p>
    <w:p w14:paraId="51B14F23">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六、年初结转和结余</w:t>
      </w:r>
      <w:r>
        <w:rPr>
          <w:rFonts w:hint="eastAsia" w:ascii="宋体" w:hAnsi="宋体" w:eastAsia="宋体" w:cs="宋体"/>
          <w:color w:val="auto"/>
          <w:sz w:val="24"/>
          <w:szCs w:val="24"/>
          <w:lang w:val="zh-CN"/>
        </w:rPr>
        <w:t>：指单位上年结转至本年使用的基本支出结转、项目支出结转和结余、经营结余。</w:t>
      </w:r>
    </w:p>
    <w:p w14:paraId="1904939F">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七、结余分配</w:t>
      </w:r>
      <w:r>
        <w:rPr>
          <w:rFonts w:hint="eastAsia" w:ascii="宋体" w:hAnsi="宋体" w:eastAsia="宋体" w:cs="宋体"/>
          <w:color w:val="auto"/>
          <w:sz w:val="24"/>
          <w:szCs w:val="24"/>
          <w:lang w:val="zh-CN"/>
        </w:rPr>
        <w:t>：指单位按照会计制度规定缴纳的所得税、提取的专用结余以及转入非财政拨款结余的金额等。</w:t>
      </w:r>
    </w:p>
    <w:p w14:paraId="06C35963">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八、年末结转和结余</w:t>
      </w:r>
      <w:r>
        <w:rPr>
          <w:rFonts w:hint="eastAsia" w:ascii="宋体" w:hAnsi="宋体" w:eastAsia="宋体" w:cs="宋体"/>
          <w:color w:val="auto"/>
          <w:sz w:val="24"/>
          <w:szCs w:val="24"/>
          <w:lang w:val="zh-CN"/>
        </w:rPr>
        <w:t>：指单位按有关规定结转到下年的基本支出结转、项目支出结转和结余、经营结余。</w:t>
      </w:r>
    </w:p>
    <w:p w14:paraId="2DB3F3CB">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九、基本支出</w:t>
      </w:r>
      <w:r>
        <w:rPr>
          <w:rFonts w:hint="eastAsia" w:ascii="宋体" w:hAnsi="宋体" w:eastAsia="宋体" w:cs="宋体"/>
          <w:color w:val="auto"/>
          <w:sz w:val="24"/>
          <w:szCs w:val="24"/>
          <w:lang w:val="zh-CN"/>
        </w:rPr>
        <w:t>：指为保障机构正常运转、完成日常工作任务而发生的人员经费和公用经费。</w:t>
      </w:r>
    </w:p>
    <w:p w14:paraId="185EBC3E">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十、项目支出</w:t>
      </w:r>
      <w:r>
        <w:rPr>
          <w:rFonts w:hint="eastAsia" w:ascii="宋体" w:hAnsi="宋体" w:eastAsia="宋体" w:cs="宋体"/>
          <w:color w:val="auto"/>
          <w:sz w:val="24"/>
          <w:szCs w:val="24"/>
          <w:lang w:val="zh-CN"/>
        </w:rPr>
        <w:t>：指在基本支出之外为完成特定行政任务或事业发展目标所发生的支出。</w:t>
      </w:r>
    </w:p>
    <w:p w14:paraId="657AA338">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十一、经营支出</w:t>
      </w:r>
      <w:r>
        <w:rPr>
          <w:rFonts w:hint="eastAsia" w:ascii="宋体" w:hAnsi="宋体" w:eastAsia="宋体" w:cs="宋体"/>
          <w:color w:val="auto"/>
          <w:sz w:val="24"/>
          <w:szCs w:val="24"/>
          <w:lang w:val="zh-CN"/>
        </w:rPr>
        <w:t>：指事业单位在专业业务活动及其辅助活动之外开展非独立核算经营活动发生的支出。</w:t>
      </w:r>
    </w:p>
    <w:p w14:paraId="482DC8B3">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十二、“三公”经费</w:t>
      </w:r>
      <w:r>
        <w:rPr>
          <w:rFonts w:hint="eastAsia" w:ascii="宋体" w:hAnsi="宋体" w:eastAsia="宋体" w:cs="宋体"/>
          <w:color w:val="auto"/>
          <w:sz w:val="24"/>
          <w:szCs w:val="24"/>
          <w:lang w:val="zh-CN"/>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14:paraId="55C38ED8">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十三、机关运行经费</w:t>
      </w:r>
      <w:r>
        <w:rPr>
          <w:rFonts w:hint="eastAsia" w:ascii="宋体" w:hAnsi="宋体" w:eastAsia="宋体" w:cs="宋体"/>
          <w:color w:val="auto"/>
          <w:sz w:val="24"/>
          <w:szCs w:val="24"/>
          <w:lang w:val="zh-CN"/>
        </w:rPr>
        <w:t>：为保障行政单位(含参照公务员法管理的事业单位)运行用于购买货物和服务等的各项公用经费,包括办公及印刷费、邮电费、差旅费、会议费、福利费、日常维护费、专用材料及一般设备购置费、办公用房水电费、办公用房取暖费、办公用房物业管理费、公务用车运行维护费以及其他费用。</w:t>
      </w:r>
    </w:p>
    <w:p w14:paraId="322E7C7E">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b/>
          <w:color w:val="auto"/>
          <w:sz w:val="24"/>
          <w:szCs w:val="24"/>
          <w:lang w:val="zh-CN"/>
        </w:rPr>
        <w:t>十四、社会保障和就业支出（类）行政事业单位养老支出（款）机关事业单位基本养老保险缴费支出（项）：</w:t>
      </w:r>
      <w:r>
        <w:rPr>
          <w:rFonts w:hint="eastAsia" w:ascii="宋体" w:hAnsi="宋体" w:eastAsia="宋体" w:cs="宋体"/>
          <w:color w:val="auto"/>
          <w:sz w:val="24"/>
          <w:szCs w:val="24"/>
          <w:lang w:val="zh-CN"/>
        </w:rPr>
        <w:t>反映机关事业单位实施养老保险制度由单位缴纳的基本养老保险支出。</w:t>
      </w:r>
    </w:p>
    <w:p w14:paraId="70651AEF">
      <w:pPr>
        <w:spacing w:before="100" w:beforeLines="0" w:after="100" w:afterLines="0"/>
        <w:jc w:val="both"/>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（根据“收入决算表”和“支出决算表”，参照第十四项说明，对本部门所有涉及到的项级支出功能科目进行说明，注意不要重复，并调整段落序号）</w:t>
      </w:r>
    </w:p>
    <w:p w14:paraId="5CE8FDE2">
      <w:pPr>
        <w:spacing w:before="100" w:beforeLines="0" w:after="100" w:afterLines="0"/>
        <w:jc w:val="both"/>
        <w:rPr>
          <w:rFonts w:hint="eastAsia" w:ascii="仿宋_GB2312" w:hAnsi="仿宋_GB2312" w:eastAsia="仿宋_GB2312" w:cs="仿宋_GB2312"/>
          <w:color w:val="auto"/>
          <w:sz w:val="32"/>
          <w:szCs w:val="32"/>
          <w:lang w:val="zh-CN"/>
        </w:rPr>
      </w:pPr>
    </w:p>
    <w:sectPr>
      <w:pgSz w:w="12240" w:h="15840"/>
      <w:pgMar w:top="1440" w:right="1800" w:bottom="1440" w:left="1800" w:header="720" w:footer="720" w:gutter="0"/>
      <w:lnNumType w:countBy="0" w:distance="36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7AEFB"/>
    <w:multiLevelType w:val="singleLevel"/>
    <w:tmpl w:val="80D7AEFB"/>
    <w:lvl w:ilvl="0" w:tentative="0">
      <w:start w:val="2"/>
      <w:numFmt w:val="chineseCounting"/>
      <w:suff w:val="nothing"/>
      <w:lvlText w:val="%1、"/>
      <w:lvlJc w:val="left"/>
      <w:rPr>
        <w:rFonts w:hint="eastAsia"/>
      </w:rPr>
    </w:lvl>
  </w:abstractNum>
  <w:abstractNum w:abstractNumId="1">
    <w:nsid w:val="0053208E"/>
    <w:multiLevelType w:val="singleLevel"/>
    <w:tmpl w:val="0053208E"/>
    <w:lvl w:ilvl="0" w:tentative="0">
      <w:start w:val="2"/>
      <w:numFmt w:val="chineseCounting"/>
      <w:suff w:val="nothing"/>
      <w:lvlText w:val="（%1）"/>
      <w:lvlJc w:val="left"/>
      <w:rPr>
        <w:rFonts w:hint="eastAsia"/>
      </w:rPr>
    </w:lvl>
  </w:abstractNum>
  <w:abstractNum w:abstractNumId="2">
    <w:nsid w:val="3DDE1C29"/>
    <w:multiLevelType w:val="singleLevel"/>
    <w:tmpl w:val="3DDE1C29"/>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wYWE0YzMzNjc0YjAxMTcxODBkMWY0OGRjOTEwNzIifQ=="/>
  </w:docVars>
  <w:rsids>
    <w:rsidRoot w:val="00000000"/>
    <w:rsid w:val="36D20001"/>
    <w:rsid w:val="427B72E2"/>
    <w:rsid w:val="503C26B8"/>
    <w:rsid w:val="607679A6"/>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eastAsia="宋体" w:asciiTheme="minorHAnsi" w:hAnsiTheme="minorHAnsi" w:cstheme="minorBidi"/>
      <w:kern w:val="2"/>
      <w:sz w:val="21"/>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9.xml"/><Relationship Id="rId18" Type="http://schemas.openxmlformats.org/officeDocument/2006/relationships/customXml" Target="../customXml/item8.xml"/><Relationship Id="rId17" Type="http://schemas.openxmlformats.org/officeDocument/2006/relationships/customXml" Target="../customXml/item7.xml"/><Relationship Id="rId16" Type="http://schemas.openxmlformats.org/officeDocument/2006/relationships/customXml" Target="../customXml/item6.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vt="http://schemas.openxmlformats.org/officeDocument/2006/docPropsVTypes" xmlns="http://schemas.openxmlformats.org/officeDocument/2006/custom-properties">
  <property fmtid="{D5CDD505-2E9C-101B-9397-08002B2CF9AE}" pid="2" name="KSOProductBuildVer">
    <vt:lpwstr>2052-11.1.0.12980</vt:lpwstr>
  </property>
  <property fmtid="{D5CDD505-2E9C-101B-9397-08002B2CF9AE}" pid="3" name="ICV">
    <vt:lpwstr>E06D266F13EA4024808CEEADBAD91186_11</vt:lpwstr>
  </property>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3.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admin</cp:lastModifiedBy>
  <dcterms:modified xsi:type="dcterms:W3CDTF">2024-08-09T09:53:21Z</dcterms:modified>
  <cp:revision>1</cp:revision>
</cp:coreProperties>
</file>

<file path=customXml/item6.xml><?xml version="1.0" encoding="utf-8"?>
<Properties xmlns="http://schemas.openxmlformats.org/officeDocument/2006/extended-properties" xmlns:vt="http://schemas.openxmlformats.org/officeDocument/2006/docPropsVTypes">
  <Template>Normal.dotm</Template>
  <Pages>15</Pages>
  <Words>7172</Words>
  <Characters>19277</Characters>
  <Lines>0</Lines>
  <Paragraphs>0</Paragraphs>
  <TotalTime>1</TotalTime>
  <ScaleCrop>false</ScaleCrop>
  <LinksUpToDate>false</LinksUpToDate>
  <CharactersWithSpaces>19281</CharactersWithSpaces>
  <Application>WPS Office_11.1.0.12980_F1E327BC-269C-435d-A152-05C5408002CA</Application>
  <DocSecurity>0</DocSecurity>
</Properties>
</file>

<file path=customXml/item7.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E06D266F13EA4024808CEEADBAD91186_11</vt:lpwstr>
  </property>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dc:creator>O.L.Problem without you</dc:creator>
  <cp:lastModifiedBy>admin</cp:lastModifiedBy>
  <cp:revision>1</cp:revision>
  <dcterms:created xsi:type="dcterms:W3CDTF">2023-07-20T03:33:00Z</dcterms:created>
  <dcterms:modified xsi:type="dcterms:W3CDTF">2024-08-09T09:53:21Z</dcterms:modified>
</cp:coreProperties>
</file>

<file path=customXml/item9.xml><?xml version="1.0" encoding="utf-8"?>
<Properties xmlns:vt="http://schemas.openxmlformats.org/officeDocument/2006/docPropsVTypes" xmlns="http://schemas.openxmlformats.org/officeDocument/2006/extended-properties">
  <Template>Normal.dotm</Template>
  <TotalTime>1</TotalTime>
  <Pages>15</Pages>
  <Words>7172</Words>
  <Characters>19277</Characters>
  <Application>WPS Office_11.1.0.12980_F1E327BC-269C-435d-A152-05C5408002CA</Application>
  <DocSecurity>0</DocSecurity>
  <Lines>0</Lines>
  <Paragraphs>0</Paragraphs>
  <CharactersWithSpaces>19281</CharactersWithSpaces>
  <AppVersion>14.0000</AppVersion>
</Properties>
</file>

<file path=customXml/itemProps1.xml><?xml version="1.0" encoding="utf-8"?>
<ds:datastoreItem xmlns:ds="http://schemas.openxmlformats.org/officeDocument/2006/customXml" ds:itemID="{3e86ca43-292b-488d-a8f6-4ddd1788293e}">
  <ds:schemaRefs/>
</ds:datastoreItem>
</file>

<file path=customXml/itemProps2.xml><?xml version="1.0" encoding="utf-8"?>
<ds:datastoreItem xmlns:ds="http://schemas.openxmlformats.org/officeDocument/2006/customXml" ds:itemID="{77a6bfa6-6d61-4ad1-9d6e-8b8a1157b42c}">
  <ds:schemaRefs/>
</ds:datastoreItem>
</file>

<file path=customXml/itemProps3.xml><?xml version="1.0" encoding="utf-8"?>
<ds:datastoreItem xmlns:ds="http://schemas.openxmlformats.org/officeDocument/2006/customXml" ds:itemID="{97d7e57a-e525-4a0e-b645-37f8ba824501}">
  <ds:schemaRefs/>
</ds:datastoreItem>
</file>

<file path=customXml/itemProps4.xml><?xml version="1.0" encoding="utf-8"?>
<ds:datastoreItem xmlns:ds="http://schemas.openxmlformats.org/officeDocument/2006/customXml" ds:itemID="{80928e54-d16c-4532-8c52-afb4ec20c15c}">
  <ds:schemaRefs/>
</ds:datastoreItem>
</file>

<file path=customXml/itemProps5.xml><?xml version="1.0" encoding="utf-8"?>
<ds:datastoreItem xmlns:ds="http://schemas.openxmlformats.org/officeDocument/2006/customXml" ds:itemID="{5c347858-c206-4c1b-9878-51bde58dc75c}">
  <ds:schemaRefs/>
</ds:datastoreItem>
</file>

<file path=customXml/itemProps6.xml><?xml version="1.0" encoding="utf-8"?>
<ds:datastoreItem xmlns:ds="http://schemas.openxmlformats.org/officeDocument/2006/customXml" ds:itemID="{dbaec5f6-f694-4684-ae7a-8c4837af5f20}">
  <ds:schemaRefs/>
</ds:datastoreItem>
</file>

<file path=customXml/itemProps7.xml><?xml version="1.0" encoding="utf-8"?>
<ds:datastoreItem xmlns:ds="http://schemas.openxmlformats.org/officeDocument/2006/customXml" ds:itemID="{59870d86-def6-4c29-a7b0-24744f8237ad}">
  <ds:schemaRefs/>
</ds:datastoreItem>
</file>

<file path=customXml/itemProps8.xml><?xml version="1.0" encoding="utf-8"?>
<ds:datastoreItem xmlns:ds="http://schemas.openxmlformats.org/officeDocument/2006/customXml" ds:itemID="{76615586-75ef-419d-aa7c-6a8f5404f97e}">
  <ds:schemaRefs/>
</ds:datastoreItem>
</file>

<file path=customXml/itemProps9.xml><?xml version="1.0" encoding="utf-8"?>
<ds:datastoreItem xmlns:ds="http://schemas.openxmlformats.org/officeDocument/2006/customXml" ds:itemID="{cc99f183-ba13-490f-a01b-0e03438d8cd9}">
  <ds:schemaRefs/>
</ds:datastoreItem>
</file>

<file path=docProps/app.xml><?xml version="1.0" encoding="utf-8"?>
<Properties xmlns="http://schemas.openxmlformats.org/officeDocument/2006/extended-properties" xmlns:vt="http://schemas.openxmlformats.org/officeDocument/2006/docPropsVTypes">
  <Template>Normal.dotm</Template>
  <Pages>9</Pages>
  <Words>3537</Words>
  <Characters>3975</Characters>
  <Lines>0</Lines>
  <Paragraphs>0</Paragraphs>
  <TotalTime>19</TotalTime>
  <ScaleCrop>false</ScaleCrop>
  <LinksUpToDate>false</LinksUpToDate>
  <CharactersWithSpaces>3980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2023-07-20T03:33:00Z</dcterms:created>
  <dc:creator>O.L.Problem without you</dc:creator>
  <cp:lastModifiedBy>苗苗幼儿园王文辉</cp:lastModifiedBy>
  <dcterms:modified xsi:type="dcterms:W3CDTF">2024-09-05T06:19:28Z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E06D266F13EA4024808CEEADBAD91186_11</vt:lpwstr>
  </property>
</Properties>
</file>