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0A67F">
      <w:pPr>
        <w:spacing w:before="100" w:beforeLines="0" w:after="100" w:afterLines="0"/>
        <w:jc w:val="center"/>
        <w:rPr>
          <w:rFonts w:hint="eastAsia" w:ascii="宋体" w:hAnsi="宋体"/>
          <w:sz w:val="24"/>
          <w:szCs w:val="24"/>
          <w:lang w:val="zh-CN"/>
        </w:rPr>
      </w:pPr>
    </w:p>
    <w:p w14:paraId="24AF7BCB">
      <w:pPr>
        <w:spacing w:before="100" w:beforeLines="0" w:after="100" w:afterLines="0"/>
        <w:jc w:val="center"/>
        <w:rPr>
          <w:rFonts w:hint="eastAsia" w:ascii="宋体" w:hAnsi="宋体"/>
          <w:sz w:val="24"/>
          <w:szCs w:val="24"/>
          <w:lang w:val="zh-CN"/>
        </w:rPr>
      </w:pPr>
    </w:p>
    <w:p w14:paraId="57B02710">
      <w:pPr>
        <w:spacing w:before="100" w:beforeLines="0" w:after="100" w:afterLines="0"/>
        <w:jc w:val="center"/>
        <w:rPr>
          <w:rFonts w:hint="eastAsia" w:ascii="宋体" w:hAnsi="宋体"/>
          <w:sz w:val="24"/>
          <w:szCs w:val="24"/>
          <w:lang w:val="zh-CN"/>
        </w:rPr>
      </w:pPr>
    </w:p>
    <w:p w14:paraId="1D68399E">
      <w:pPr>
        <w:spacing w:before="100" w:beforeLines="0" w:after="100" w:afterLines="0"/>
        <w:jc w:val="center"/>
        <w:rPr>
          <w:rFonts w:hint="eastAsia" w:ascii="宋体" w:hAnsi="宋体"/>
          <w:sz w:val="24"/>
          <w:szCs w:val="24"/>
          <w:lang w:val="zh-CN"/>
        </w:rPr>
      </w:pPr>
    </w:p>
    <w:p w14:paraId="6E943C38">
      <w:pPr>
        <w:spacing w:before="100" w:beforeLines="0" w:after="100" w:afterLines="0"/>
        <w:jc w:val="center"/>
        <w:rPr>
          <w:rFonts w:hint="eastAsia" w:ascii="宋体" w:hAnsi="宋体"/>
          <w:sz w:val="24"/>
          <w:szCs w:val="24"/>
          <w:lang w:val="zh-CN"/>
        </w:rPr>
      </w:pPr>
    </w:p>
    <w:p w14:paraId="225CDD8F">
      <w:pPr>
        <w:spacing w:before="100" w:beforeLines="0" w:after="100" w:afterLines="0"/>
        <w:jc w:val="center"/>
        <w:rPr>
          <w:rFonts w:hint="eastAsia" w:ascii="宋体" w:hAnsi="宋体"/>
          <w:sz w:val="24"/>
          <w:szCs w:val="24"/>
          <w:lang w:val="zh-CN"/>
        </w:rPr>
      </w:pPr>
    </w:p>
    <w:p w14:paraId="2CD3A926">
      <w:pPr>
        <w:spacing w:before="100" w:beforeLines="0" w:after="100" w:afterLines="0"/>
        <w:jc w:val="center"/>
        <w:rPr>
          <w:rFonts w:hint="eastAsia" w:ascii="宋体" w:hAnsi="宋体"/>
          <w:sz w:val="24"/>
          <w:szCs w:val="24"/>
          <w:lang w:val="zh-CN"/>
        </w:rPr>
      </w:pPr>
    </w:p>
    <w:p w14:paraId="0BD4E6A1">
      <w:pPr>
        <w:spacing w:before="100" w:beforeLines="0" w:after="100" w:afterLines="0"/>
        <w:jc w:val="center"/>
        <w:rPr>
          <w:rFonts w:hint="eastAsia" w:ascii="宋体" w:hAnsi="宋体"/>
          <w:sz w:val="24"/>
          <w:szCs w:val="24"/>
          <w:lang w:val="zh-CN"/>
        </w:rPr>
      </w:pPr>
    </w:p>
    <w:p w14:paraId="568FB4C9">
      <w:pPr>
        <w:spacing w:before="100" w:beforeLines="0" w:after="100" w:afterLines="0"/>
        <w:jc w:val="center"/>
        <w:rPr>
          <w:rFonts w:hint="eastAsia" w:ascii="宋体" w:hAnsi="宋体"/>
          <w:sz w:val="24"/>
          <w:szCs w:val="24"/>
          <w:lang w:val="zh-CN"/>
        </w:rPr>
      </w:pPr>
    </w:p>
    <w:p w14:paraId="5F3FDCA4">
      <w:pPr>
        <w:spacing w:before="100" w:beforeLines="0" w:after="100" w:afterLines="0"/>
        <w:jc w:val="center"/>
        <w:rPr>
          <w:rFonts w:hint="eastAsia" w:ascii="宋体" w:hAnsi="宋体"/>
          <w:sz w:val="24"/>
          <w:szCs w:val="24"/>
          <w:lang w:val="zh-CN"/>
        </w:rPr>
      </w:pPr>
    </w:p>
    <w:p w14:paraId="72068FF3">
      <w:pPr>
        <w:spacing w:before="100" w:beforeLines="0" w:after="100" w:afterLines="0"/>
        <w:jc w:val="center"/>
        <w:rPr>
          <w:rFonts w:hint="eastAsia" w:ascii="宋体" w:hAnsi="宋体"/>
          <w:sz w:val="24"/>
          <w:szCs w:val="24"/>
          <w:lang w:val="zh-CN"/>
        </w:rPr>
      </w:pPr>
    </w:p>
    <w:p w14:paraId="58E7FA00">
      <w:pPr>
        <w:spacing w:before="100" w:beforeLines="0" w:after="100" w:afterLines="0"/>
        <w:jc w:val="center"/>
        <w:rPr>
          <w:rFonts w:hint="eastAsia" w:ascii="宋体" w:hAnsi="宋体"/>
          <w:sz w:val="24"/>
          <w:szCs w:val="24"/>
          <w:lang w:val="zh-CN"/>
        </w:rPr>
      </w:pPr>
    </w:p>
    <w:p w14:paraId="06EF9B31">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14:paraId="78AE98D1">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东乡族自治县达板镇人民政府部门决算</w:t>
      </w:r>
    </w:p>
    <w:p w14:paraId="4802CB9E">
      <w:pPr>
        <w:spacing w:before="100" w:beforeLines="0" w:after="100" w:afterLines="0"/>
        <w:jc w:val="center"/>
        <w:rPr>
          <w:rFonts w:hint="eastAsia" w:ascii="宋体" w:hAnsi="宋体"/>
          <w:sz w:val="24"/>
          <w:szCs w:val="24"/>
          <w:lang w:val="zh-CN"/>
        </w:rPr>
      </w:pPr>
    </w:p>
    <w:p w14:paraId="0F749AD8">
      <w:pPr>
        <w:spacing w:before="100" w:beforeLines="0" w:after="100" w:afterLines="0"/>
        <w:jc w:val="center"/>
        <w:rPr>
          <w:rFonts w:hint="eastAsia" w:ascii="宋体" w:hAnsi="宋体"/>
          <w:sz w:val="24"/>
          <w:szCs w:val="24"/>
          <w:lang w:val="zh-CN"/>
        </w:rPr>
      </w:pPr>
    </w:p>
    <w:p w14:paraId="45CB7CA5">
      <w:pPr>
        <w:spacing w:before="100" w:beforeLines="0" w:after="100" w:afterLines="0"/>
        <w:jc w:val="center"/>
        <w:rPr>
          <w:rFonts w:hint="eastAsia" w:ascii="宋体" w:hAnsi="宋体"/>
          <w:sz w:val="24"/>
          <w:szCs w:val="24"/>
          <w:lang w:val="zh-CN"/>
        </w:rPr>
      </w:pPr>
    </w:p>
    <w:p w14:paraId="665F1569">
      <w:pPr>
        <w:spacing w:before="100" w:beforeLines="0" w:after="100" w:afterLines="0"/>
        <w:jc w:val="center"/>
        <w:rPr>
          <w:rFonts w:hint="eastAsia" w:ascii="宋体" w:hAnsi="宋体"/>
          <w:sz w:val="24"/>
          <w:szCs w:val="24"/>
          <w:lang w:val="zh-CN"/>
        </w:rPr>
      </w:pPr>
    </w:p>
    <w:p w14:paraId="795A1AD4">
      <w:pPr>
        <w:spacing w:before="100" w:beforeLines="0" w:after="100" w:afterLines="0"/>
        <w:jc w:val="center"/>
        <w:rPr>
          <w:rFonts w:hint="eastAsia" w:ascii="宋体" w:hAnsi="宋体"/>
          <w:sz w:val="24"/>
          <w:szCs w:val="24"/>
          <w:lang w:val="zh-CN"/>
        </w:rPr>
      </w:pPr>
    </w:p>
    <w:p w14:paraId="08F0C965">
      <w:pPr>
        <w:spacing w:before="100" w:beforeLines="0" w:after="100" w:afterLines="0"/>
        <w:jc w:val="center"/>
        <w:rPr>
          <w:rFonts w:hint="eastAsia" w:ascii="宋体" w:hAnsi="宋体"/>
          <w:sz w:val="24"/>
          <w:szCs w:val="24"/>
          <w:lang w:val="zh-CN"/>
        </w:rPr>
      </w:pPr>
    </w:p>
    <w:p w14:paraId="6E28A8ED">
      <w:pPr>
        <w:spacing w:before="100" w:beforeLines="0" w:after="100" w:afterLines="0"/>
        <w:jc w:val="center"/>
        <w:rPr>
          <w:rFonts w:hint="eastAsia" w:ascii="宋体" w:hAnsi="宋体"/>
          <w:sz w:val="24"/>
          <w:szCs w:val="24"/>
          <w:lang w:val="zh-CN"/>
        </w:rPr>
      </w:pPr>
    </w:p>
    <w:p w14:paraId="0DFD0B9D">
      <w:pPr>
        <w:spacing w:before="100" w:beforeLines="0" w:after="100" w:afterLines="0"/>
        <w:jc w:val="center"/>
        <w:rPr>
          <w:rFonts w:hint="eastAsia" w:ascii="宋体" w:hAnsi="宋体"/>
          <w:sz w:val="24"/>
          <w:szCs w:val="24"/>
          <w:lang w:val="zh-CN"/>
        </w:rPr>
      </w:pPr>
    </w:p>
    <w:p w14:paraId="728D58F0">
      <w:pPr>
        <w:spacing w:before="100" w:beforeLines="0" w:after="100" w:afterLines="0"/>
        <w:jc w:val="center"/>
        <w:rPr>
          <w:rFonts w:hint="eastAsia" w:ascii="宋体" w:hAnsi="宋体"/>
          <w:sz w:val="24"/>
          <w:szCs w:val="24"/>
          <w:lang w:val="zh-CN"/>
        </w:rPr>
      </w:pPr>
    </w:p>
    <w:p w14:paraId="211AB26D">
      <w:pPr>
        <w:spacing w:before="100" w:beforeLines="0" w:after="100" w:afterLines="0"/>
        <w:jc w:val="center"/>
        <w:rPr>
          <w:rFonts w:hint="eastAsia" w:ascii="宋体" w:hAnsi="宋体"/>
          <w:sz w:val="24"/>
          <w:szCs w:val="24"/>
          <w:lang w:val="zh-CN"/>
        </w:rPr>
      </w:pPr>
    </w:p>
    <w:p w14:paraId="6187B237">
      <w:pPr>
        <w:spacing w:before="100" w:beforeLines="0" w:after="100" w:afterLines="0"/>
        <w:jc w:val="center"/>
        <w:rPr>
          <w:rFonts w:hint="eastAsia" w:ascii="宋体" w:hAnsi="宋体"/>
          <w:sz w:val="24"/>
          <w:szCs w:val="24"/>
          <w:lang w:val="zh-CN"/>
        </w:rPr>
      </w:pPr>
    </w:p>
    <w:p w14:paraId="33594CCC">
      <w:pPr>
        <w:spacing w:before="100" w:beforeLines="0" w:after="100" w:afterLines="0"/>
        <w:jc w:val="center"/>
        <w:rPr>
          <w:rFonts w:hint="eastAsia" w:ascii="宋体" w:hAnsi="宋体"/>
          <w:sz w:val="24"/>
          <w:szCs w:val="24"/>
          <w:lang w:val="zh-CN"/>
        </w:rPr>
      </w:pPr>
    </w:p>
    <w:p w14:paraId="4EBF719E">
      <w:pPr>
        <w:spacing w:before="100" w:beforeLines="0" w:after="100" w:afterLines="0"/>
        <w:jc w:val="center"/>
        <w:rPr>
          <w:rFonts w:hint="eastAsia" w:ascii="宋体" w:hAnsi="宋体"/>
          <w:sz w:val="24"/>
          <w:szCs w:val="24"/>
          <w:lang w:val="zh-CN"/>
        </w:rPr>
      </w:pPr>
    </w:p>
    <w:p w14:paraId="7FBD581B">
      <w:pPr>
        <w:spacing w:before="100" w:beforeLines="0" w:after="100" w:afterLines="0"/>
        <w:jc w:val="center"/>
        <w:rPr>
          <w:rFonts w:hint="eastAsia" w:ascii="宋体" w:hAnsi="宋体"/>
          <w:sz w:val="24"/>
          <w:szCs w:val="24"/>
          <w:lang w:val="zh-CN"/>
        </w:rPr>
      </w:pPr>
    </w:p>
    <w:p w14:paraId="1CB57EB7">
      <w:pPr>
        <w:spacing w:before="100" w:beforeLines="0" w:after="100" w:afterLines="0"/>
        <w:jc w:val="center"/>
        <w:rPr>
          <w:rFonts w:hint="eastAsia" w:ascii="宋体" w:hAnsi="宋体"/>
          <w:sz w:val="24"/>
          <w:szCs w:val="24"/>
          <w:lang w:val="zh-CN"/>
        </w:rPr>
      </w:pPr>
    </w:p>
    <w:p w14:paraId="3598C6BF">
      <w:pPr>
        <w:spacing w:before="100" w:beforeLines="0" w:after="100" w:afterLines="0"/>
        <w:jc w:val="center"/>
        <w:rPr>
          <w:rFonts w:hint="eastAsia" w:ascii="宋体" w:hAnsi="宋体"/>
          <w:sz w:val="24"/>
          <w:szCs w:val="24"/>
          <w:lang w:val="zh-CN"/>
        </w:rPr>
      </w:pPr>
    </w:p>
    <w:p w14:paraId="77183C5B">
      <w:pPr>
        <w:spacing w:before="100" w:beforeLines="0" w:after="100" w:afterLines="0"/>
        <w:jc w:val="center"/>
        <w:rPr>
          <w:rFonts w:hint="eastAsia" w:ascii="宋体" w:hAnsi="宋体"/>
          <w:sz w:val="24"/>
          <w:szCs w:val="24"/>
          <w:lang w:val="zh-CN"/>
        </w:rPr>
      </w:pPr>
    </w:p>
    <w:p w14:paraId="0D9AE64C">
      <w:pPr>
        <w:spacing w:before="100" w:beforeLines="0" w:after="100" w:afterLines="0"/>
        <w:jc w:val="center"/>
        <w:rPr>
          <w:rFonts w:hint="eastAsia" w:ascii="宋体" w:hAnsi="宋体"/>
          <w:sz w:val="24"/>
          <w:szCs w:val="24"/>
          <w:lang w:val="zh-CN"/>
        </w:rPr>
      </w:pPr>
    </w:p>
    <w:p w14:paraId="1DB78993">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14:paraId="01E44307">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14:paraId="7CE9A00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5CC3A24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14:paraId="6C597B05">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14:paraId="24C73A4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14:paraId="4B0BCBB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14:paraId="09F244A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14:paraId="26FBEBA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14:paraId="307A9F2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14:paraId="0AC1F25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14:paraId="736BD52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14:paraId="18338E1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14:paraId="201E809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14:paraId="70FB0E52">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14:paraId="6819B12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14:paraId="3FA21E5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14:paraId="10D608D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14:paraId="66DB207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14:paraId="161B18C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14:paraId="42752D7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14:paraId="3C1CAFD4">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14:paraId="47ADF19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14:paraId="45E8D3C4">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14:paraId="269BBCED">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14:paraId="21BDADEB">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14:paraId="08B4B4C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14:paraId="618EC05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14:paraId="63BCB5A4">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14:paraId="117153B6">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14:paraId="1E22C125">
      <w:pPr>
        <w:spacing w:before="100" w:beforeLines="0" w:after="100" w:afterLines="0"/>
        <w:jc w:val="center"/>
        <w:rPr>
          <w:rFonts w:hint="eastAsia" w:ascii="宋体" w:hAnsi="宋体"/>
          <w:sz w:val="24"/>
          <w:szCs w:val="24"/>
          <w:lang w:val="zh-CN"/>
        </w:rPr>
      </w:pPr>
    </w:p>
    <w:p w14:paraId="3AAABCF5">
      <w:pPr>
        <w:spacing w:before="100" w:beforeLines="0" w:after="100" w:afterLines="0"/>
        <w:jc w:val="center"/>
        <w:rPr>
          <w:rFonts w:hint="eastAsia" w:ascii="宋体" w:hAnsi="宋体"/>
          <w:sz w:val="24"/>
          <w:szCs w:val="24"/>
          <w:lang w:val="zh-CN"/>
        </w:rPr>
      </w:pPr>
    </w:p>
    <w:p w14:paraId="65F65776">
      <w:pPr>
        <w:spacing w:before="100" w:beforeLines="0" w:after="100" w:afterLines="0"/>
        <w:jc w:val="center"/>
        <w:rPr>
          <w:rFonts w:hint="eastAsia" w:ascii="宋体" w:hAnsi="宋体"/>
          <w:sz w:val="24"/>
          <w:szCs w:val="24"/>
          <w:lang w:val="zh-CN"/>
        </w:rPr>
      </w:pPr>
    </w:p>
    <w:p w14:paraId="55D5034A">
      <w:pPr>
        <w:spacing w:before="100" w:beforeLines="0" w:after="100" w:afterLines="0"/>
        <w:jc w:val="center"/>
        <w:rPr>
          <w:rFonts w:hint="eastAsia" w:ascii="宋体" w:hAnsi="宋体"/>
          <w:sz w:val="24"/>
          <w:szCs w:val="24"/>
          <w:lang w:val="zh-CN"/>
        </w:rPr>
      </w:pPr>
    </w:p>
    <w:p w14:paraId="0125BA6F">
      <w:pPr>
        <w:spacing w:before="100" w:beforeLines="0" w:after="100" w:afterLines="0"/>
        <w:jc w:val="center"/>
        <w:rPr>
          <w:rFonts w:hint="eastAsia" w:ascii="宋体" w:hAnsi="宋体"/>
          <w:sz w:val="24"/>
          <w:szCs w:val="24"/>
          <w:lang w:val="zh-CN"/>
        </w:rPr>
      </w:pPr>
    </w:p>
    <w:p w14:paraId="76B6E3CB">
      <w:pPr>
        <w:spacing w:before="100" w:beforeLines="0" w:after="100" w:afterLines="0"/>
        <w:jc w:val="center"/>
        <w:rPr>
          <w:rFonts w:hint="eastAsia" w:ascii="宋体" w:hAnsi="宋体"/>
          <w:sz w:val="24"/>
          <w:szCs w:val="24"/>
          <w:lang w:val="zh-CN"/>
        </w:rPr>
      </w:pPr>
    </w:p>
    <w:p w14:paraId="391D1246">
      <w:pPr>
        <w:spacing w:before="100" w:beforeLines="0" w:after="100" w:afterLines="0"/>
        <w:jc w:val="center"/>
        <w:rPr>
          <w:rFonts w:hint="eastAsia" w:ascii="宋体" w:hAnsi="宋体"/>
          <w:sz w:val="24"/>
          <w:szCs w:val="24"/>
          <w:lang w:val="zh-CN"/>
        </w:rPr>
      </w:pPr>
    </w:p>
    <w:p w14:paraId="52DE4975">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14:paraId="1B7300D7">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10906527">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1.宣传和贯彻执行党的路线方针政策和法律法规;制定地方经济社会发展规划和年度计划并组织实施;坚持依法行政,推进民主政治,加强基层政权建设做好农业、农村、农民和社区工作,推进乡村振兴。</w:t>
      </w:r>
    </w:p>
    <w:p w14:paraId="4E57B459">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2.落实基层管党治党工作责任制,加强党员队伍的思想建设、组织建设、作风建设、制度建设和党风廉政建设;做好党员管理、发展工作,改善党员队伍结构,提高党员素质;加强党对意识形态和统一战线工作的领导;加强人民武装、民族宗教等工作;指导工会、共青团、妇联等群团工作。</w:t>
      </w:r>
    </w:p>
    <w:p w14:paraId="1FE012F2">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3.规范经济管理,组织指导经济发展和经济结构调整;加强综合生产能力建设;健全社会化服务体系,完善产业支持保护体系,推进产业现代化;着力提升经济发展的质量和水平,发展壮大村级集体经济,增加村民收入,不断提高人民生活水平。</w:t>
      </w:r>
    </w:p>
    <w:p w14:paraId="2C5AB7E9">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4.加强社会管理和基础设施建设,创造良好环境;推进政务、村务公开;抓好卫生健康、人口计划生育工作,保障妇女儿童合法权益; 加强自然资源管理、生态环境保护和修复等工作;保障退役军人合法权益;强化安全生产和公共安全,组织抢险救灾、优抚救助,及时上报和处置重大社情、疫情、险情等,保护人民群众的生命命财产安全。</w:t>
      </w:r>
    </w:p>
    <w:p w14:paraId="2DCF22E7">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5.发展公益事业,强化公共服务;加强公共设施建设,开展就业和社会保障服务,着力解决群众生产生活中的问题;发展科教文卫事业,建设健康农村,丰富农民群众文化生活,促进乡风文明;制定公共服务事项目录清单,加强公共服务体系建设。</w:t>
      </w:r>
    </w:p>
    <w:p w14:paraId="6BC9FCAD">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6.加强综合治理,维护社会稳定;强化民主法制宣传教育,畅通诉求渠道、调解民事纠纷、化解社会矛盾,处理群体性突发事件,保证社会公正,维护社会秩序和社会稳定;指导村民自治,推动基层社会建设,促进社会组织健康发展,增强社会自治功能。</w:t>
      </w:r>
    </w:p>
    <w:p w14:paraId="36123C34">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7.按照管理权限,负责机关和事业单位工作人员的教育、培养、选拔和监督工作; 协助管理好派驻单位人员。</w:t>
      </w:r>
    </w:p>
    <w:p w14:paraId="6071BFA6">
      <w:pPr>
        <w:spacing w:line="600" w:lineRule="exact"/>
        <w:ind w:firstLine="640" w:firstLineChars="200"/>
        <w:rPr>
          <w:rFonts w:hint="eastAsia" w:ascii="仿宋_GB2312" w:hAnsi="仿宋" w:eastAsia="仿宋_GB2312" w:cs="宋体"/>
          <w:kern w:val="0"/>
          <w:sz w:val="32"/>
          <w:szCs w:val="32"/>
        </w:rPr>
      </w:pPr>
      <w:r>
        <w:rPr>
          <w:rFonts w:hint="eastAsia" w:ascii="仿宋_GB2312" w:hAnsi="仿宋" w:eastAsia="仿宋_GB2312" w:cs="宋体"/>
          <w:kern w:val="0"/>
          <w:sz w:val="32"/>
          <w:szCs w:val="32"/>
        </w:rPr>
        <w:t>8.依法依规承担下放的经济社会管理权限和行政执法事项。</w:t>
      </w:r>
    </w:p>
    <w:p w14:paraId="4BC2C7B4">
      <w:pPr>
        <w:spacing w:before="100" w:beforeLines="0" w:after="100" w:afterLines="0"/>
        <w:jc w:val="left"/>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法律、法规规定和县委、县政府交办的其他事项。</w:t>
      </w:r>
    </w:p>
    <w:p w14:paraId="210F5DB4">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二、机构设置</w:t>
      </w:r>
    </w:p>
    <w:p w14:paraId="5B089251">
      <w:pPr>
        <w:spacing w:line="600" w:lineRule="exact"/>
        <w:ind w:firstLine="643" w:firstLineChars="200"/>
        <w:rPr>
          <w:rFonts w:ascii="楷体_GB2312" w:hAnsi="楷体" w:eastAsia="楷体_GB2312" w:cs="宋体"/>
          <w:b/>
          <w:bCs/>
          <w:kern w:val="0"/>
          <w:sz w:val="32"/>
          <w:szCs w:val="32"/>
        </w:rPr>
      </w:pPr>
      <w:r>
        <w:rPr>
          <w:rFonts w:hint="eastAsia" w:ascii="楷体_GB2312" w:hAnsi="楷体" w:eastAsia="楷体_GB2312" w:cs="宋体"/>
          <w:b/>
          <w:bCs/>
          <w:kern w:val="0"/>
          <w:sz w:val="32"/>
          <w:szCs w:val="32"/>
        </w:rPr>
        <w:t>（一）机关内设机构</w:t>
      </w:r>
    </w:p>
    <w:p w14:paraId="531B68EF">
      <w:pPr>
        <w:spacing w:line="600" w:lineRule="exact"/>
        <w:ind w:firstLine="640" w:firstLineChars="200"/>
        <w:rPr>
          <w:rFonts w:ascii="仿宋_GB2312" w:hAnsi="仿宋" w:eastAsia="仿宋_GB2312" w:cs="宋体"/>
          <w:kern w:val="0"/>
          <w:sz w:val="32"/>
          <w:szCs w:val="32"/>
        </w:rPr>
      </w:pPr>
      <w:r>
        <w:rPr>
          <w:rFonts w:hint="eastAsia" w:ascii="仿宋_GB2312" w:hAnsi="宋体" w:eastAsia="仿宋_GB2312" w:cs="宋体"/>
          <w:kern w:val="0"/>
          <w:sz w:val="32"/>
          <w:szCs w:val="32"/>
          <w:highlight w:val="none"/>
        </w:rPr>
        <w:t>1.党政综合办公室</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2.党建工作办公室</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3.经济发展和社会事务办公室</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4.社会治理和应急管理办公室</w:t>
      </w:r>
      <w:r>
        <w:rPr>
          <w:rFonts w:hint="eastAsia" w:ascii="仿宋_GB2312" w:hAnsi="宋体" w:eastAsia="仿宋_GB2312" w:cs="宋体"/>
          <w:kern w:val="0"/>
          <w:sz w:val="32"/>
          <w:szCs w:val="32"/>
          <w:highlight w:val="none"/>
          <w:lang w:eastAsia="zh-CN"/>
        </w:rPr>
        <w:t>；</w:t>
      </w:r>
    </w:p>
    <w:p w14:paraId="5936CED5">
      <w:pPr>
        <w:spacing w:line="600" w:lineRule="exact"/>
        <w:ind w:firstLine="643" w:firstLineChars="200"/>
        <w:rPr>
          <w:rFonts w:ascii="楷体_GB2312" w:hAnsi="楷体" w:eastAsia="楷体_GB2312" w:cs="宋体"/>
          <w:b/>
          <w:bCs/>
          <w:kern w:val="0"/>
          <w:sz w:val="32"/>
          <w:szCs w:val="32"/>
        </w:rPr>
      </w:pPr>
      <w:r>
        <w:rPr>
          <w:rFonts w:hint="eastAsia" w:ascii="楷体_GB2312" w:hAnsi="楷体" w:eastAsia="楷体_GB2312" w:cs="宋体"/>
          <w:b/>
          <w:bCs/>
          <w:kern w:val="0"/>
          <w:sz w:val="32"/>
          <w:szCs w:val="32"/>
        </w:rPr>
        <w:t>（二）参照公务员法管理单位</w:t>
      </w:r>
    </w:p>
    <w:p w14:paraId="7B618B01">
      <w:pPr>
        <w:spacing w:line="600" w:lineRule="exact"/>
        <w:ind w:firstLine="640" w:firstLineChars="200"/>
        <w:rPr>
          <w:rFonts w:hint="eastAsia" w:ascii="仿宋_GB2312" w:hAnsi="仿宋_GB2312" w:eastAsia="仿宋_GB2312" w:cs="仿宋_GB2312"/>
          <w:color w:val="000000"/>
          <w:spacing w:val="0"/>
          <w:w w:val="100"/>
          <w:position w:val="0"/>
          <w:sz w:val="32"/>
          <w:szCs w:val="32"/>
          <w:highlight w:val="none"/>
          <w:lang w:val="en-US" w:eastAsia="zh-CN"/>
        </w:rPr>
      </w:pPr>
      <w:r>
        <w:rPr>
          <w:rFonts w:hint="eastAsia" w:ascii="仿宋_GB2312" w:hAnsi="仿宋_GB2312" w:eastAsia="仿宋_GB2312" w:cs="仿宋_GB2312"/>
          <w:color w:val="000000"/>
          <w:spacing w:val="0"/>
          <w:w w:val="100"/>
          <w:position w:val="0"/>
          <w:sz w:val="32"/>
          <w:szCs w:val="32"/>
          <w:highlight w:val="none"/>
          <w:lang w:val="en-US" w:eastAsia="zh-CN"/>
        </w:rPr>
        <w:t>达板镇人民政府为参公事业单位，核定参公事业编制26名，实有工作人员22人。</w:t>
      </w:r>
    </w:p>
    <w:p w14:paraId="3D43E8D6">
      <w:pPr>
        <w:spacing w:line="600" w:lineRule="exact"/>
        <w:ind w:firstLine="643" w:firstLineChars="200"/>
        <w:rPr>
          <w:rFonts w:ascii="楷体_GB2312" w:hAnsi="楷体" w:eastAsia="楷体_GB2312" w:cs="宋体"/>
          <w:b/>
          <w:bCs/>
          <w:kern w:val="0"/>
          <w:sz w:val="32"/>
          <w:szCs w:val="32"/>
        </w:rPr>
      </w:pPr>
      <w:r>
        <w:rPr>
          <w:rFonts w:hint="eastAsia" w:ascii="楷体_GB2312" w:hAnsi="楷体" w:eastAsia="楷体_GB2312" w:cs="宋体"/>
          <w:b/>
          <w:bCs/>
          <w:kern w:val="0"/>
          <w:sz w:val="32"/>
          <w:szCs w:val="32"/>
        </w:rPr>
        <w:t>（</w:t>
      </w:r>
      <w:r>
        <w:rPr>
          <w:rFonts w:hint="eastAsia" w:ascii="楷体_GB2312" w:hAnsi="楷体" w:eastAsia="楷体_GB2312" w:cs="宋体"/>
          <w:b/>
          <w:bCs/>
          <w:kern w:val="0"/>
          <w:sz w:val="32"/>
          <w:szCs w:val="32"/>
          <w:lang w:eastAsia="zh-CN"/>
        </w:rPr>
        <w:t>三</w:t>
      </w:r>
      <w:r>
        <w:rPr>
          <w:rFonts w:hint="eastAsia" w:ascii="楷体_GB2312" w:hAnsi="楷体" w:eastAsia="楷体_GB2312" w:cs="宋体"/>
          <w:b/>
          <w:bCs/>
          <w:kern w:val="0"/>
          <w:sz w:val="32"/>
          <w:szCs w:val="32"/>
        </w:rPr>
        <w:t>）直属事业单位</w:t>
      </w:r>
    </w:p>
    <w:p w14:paraId="443459D8">
      <w:pPr>
        <w:spacing w:line="600" w:lineRule="exact"/>
        <w:ind w:firstLine="640" w:firstLineChars="200"/>
        <w:rPr>
          <w:rFonts w:ascii="仿宋_GB2312" w:hAnsi="仿宋" w:eastAsia="仿宋_GB2312" w:cs="宋体"/>
          <w:kern w:val="0"/>
          <w:sz w:val="32"/>
          <w:szCs w:val="32"/>
        </w:rPr>
      </w:pPr>
      <w:r>
        <w:rPr>
          <w:rFonts w:hint="eastAsia" w:ascii="仿宋_GB2312" w:hAnsi="宋体" w:eastAsia="仿宋_GB2312" w:cs="宋体"/>
          <w:kern w:val="0"/>
          <w:sz w:val="32"/>
          <w:szCs w:val="32"/>
          <w:highlight w:val="none"/>
        </w:rPr>
        <w:t>1.农业农村综合服务中心</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2.公共事务服务中心</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3.政务（便民）服务中心</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4.社会治安综合治理中心</w:t>
      </w:r>
      <w:r>
        <w:rPr>
          <w:rFonts w:hint="eastAsia" w:ascii="仿宋_GB2312" w:hAnsi="宋体" w:eastAsia="仿宋_GB2312" w:cs="宋体"/>
          <w:kern w:val="0"/>
          <w:sz w:val="32"/>
          <w:szCs w:val="32"/>
          <w:highlight w:val="none"/>
          <w:lang w:eastAsia="zh-CN"/>
        </w:rPr>
        <w:t>、</w:t>
      </w:r>
      <w:r>
        <w:rPr>
          <w:rFonts w:hint="eastAsia" w:ascii="仿宋_GB2312" w:hAnsi="宋体" w:eastAsia="仿宋_GB2312" w:cs="宋体"/>
          <w:kern w:val="0"/>
          <w:sz w:val="32"/>
          <w:szCs w:val="32"/>
          <w:highlight w:val="none"/>
        </w:rPr>
        <w:t xml:space="preserve"> 5.综合行政执法队</w:t>
      </w:r>
      <w:r>
        <w:rPr>
          <w:rFonts w:hint="eastAsia" w:ascii="仿宋_GB2312" w:hAnsi="宋体" w:eastAsia="仿宋_GB2312" w:cs="宋体"/>
          <w:kern w:val="0"/>
          <w:sz w:val="32"/>
          <w:szCs w:val="32"/>
          <w:highlight w:val="none"/>
          <w:lang w:eastAsia="zh-CN"/>
        </w:rPr>
        <w:t>；</w:t>
      </w:r>
    </w:p>
    <w:p w14:paraId="459449EC">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14:paraId="673F6B9A">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一、收入支出决算总表</w:t>
      </w:r>
    </w:p>
    <w:p w14:paraId="6012744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二、收入决算表</w:t>
      </w:r>
    </w:p>
    <w:p w14:paraId="70A74A4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三、支出决算表</w:t>
      </w:r>
    </w:p>
    <w:p w14:paraId="686F2A9B">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四、财政拨款收入支出决算总表</w:t>
      </w:r>
    </w:p>
    <w:p w14:paraId="5EB26FB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五、一般公共预算财政拨款支出决算表</w:t>
      </w:r>
    </w:p>
    <w:p w14:paraId="42B81F0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六、一般公共预算财政拨款基本支出决算明细表</w:t>
      </w:r>
    </w:p>
    <w:p w14:paraId="2AB5897B">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七、政府性基金预算财政拨款收入支出决算表</w:t>
      </w:r>
    </w:p>
    <w:p w14:paraId="58DBAF3B">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八、国有资本经营预算财政拨款支出决算表</w:t>
      </w:r>
    </w:p>
    <w:p w14:paraId="2E8E747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九、财政拨款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r>
        <w:rPr>
          <w:rFonts w:hint="eastAsia" w:ascii="宋体" w:hAnsi="宋体"/>
          <w:color w:val="auto"/>
          <w:sz w:val="24"/>
          <w:szCs w:val="24"/>
          <w:lang w:val="zh-CN"/>
        </w:rPr>
        <w:drawing>
          <wp:inline distT="0" distB="0" distL="114300" distR="114300">
            <wp:extent cx="5476875" cy="3872230"/>
            <wp:effectExtent l="0" t="0" r="9525" b="13970"/>
            <wp:docPr id="15" name="图片 15" descr="东乡族自治县达板镇人民政府 (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东乡族自治县达板镇人民政府 (3)_00"/>
                    <pic:cNvPicPr>
                      <a:picLocks noChangeAspect="1"/>
                    </pic:cNvPicPr>
                  </pic:nvPicPr>
                  <pic:blipFill>
                    <a:blip r:embed="rId4"/>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14" name="图片 14" descr="东乡族自治县达板镇人民政府 (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东乡族自治县达板镇人民政府 (3)_01"/>
                    <pic:cNvPicPr>
                      <a:picLocks noChangeAspect="1"/>
                    </pic:cNvPicPr>
                  </pic:nvPicPr>
                  <pic:blipFill>
                    <a:blip r:embed="rId5"/>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13" name="图片 13" descr="东乡族自治县达板镇人民政府 (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东乡族自治县达板镇人民政府 (3)_02"/>
                    <pic:cNvPicPr>
                      <a:picLocks noChangeAspect="1"/>
                    </pic:cNvPicPr>
                  </pic:nvPicPr>
                  <pic:blipFill>
                    <a:blip r:embed="rId6"/>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12" name="图片 12" descr="东乡族自治县达板镇人民政府 (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东乡族自治县达板镇人民政府 (3)_03"/>
                    <pic:cNvPicPr>
                      <a:picLocks noChangeAspect="1"/>
                    </pic:cNvPicPr>
                  </pic:nvPicPr>
                  <pic:blipFill>
                    <a:blip r:embed="rId7"/>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11" name="图片 11" descr="东乡族自治县达板镇人民政府 (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乡族自治县达板镇人民政府 (3)_04"/>
                    <pic:cNvPicPr>
                      <a:picLocks noChangeAspect="1"/>
                    </pic:cNvPicPr>
                  </pic:nvPicPr>
                  <pic:blipFill>
                    <a:blip r:embed="rId8"/>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10" name="图片 10" descr="东乡族自治县达板镇人民政府 (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乡族自治县达板镇人民政府 (3)_05"/>
                    <pic:cNvPicPr>
                      <a:picLocks noChangeAspect="1"/>
                    </pic:cNvPicPr>
                  </pic:nvPicPr>
                  <pic:blipFill>
                    <a:blip r:embed="rId9"/>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9" name="图片 9" descr="东乡族自治县达板镇人民政府 (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东乡族自治县达板镇人民政府 (3)_06"/>
                    <pic:cNvPicPr>
                      <a:picLocks noChangeAspect="1"/>
                    </pic:cNvPicPr>
                  </pic:nvPicPr>
                  <pic:blipFill>
                    <a:blip r:embed="rId10"/>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8" name="图片 8" descr="东乡族自治县达板镇人民政府 (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东乡族自治县达板镇人民政府 (3)_07"/>
                    <pic:cNvPicPr>
                      <a:picLocks noChangeAspect="1"/>
                    </pic:cNvPicPr>
                  </pic:nvPicPr>
                  <pic:blipFill>
                    <a:blip r:embed="rId11"/>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7" name="图片 7" descr="东乡族自治县达板镇人民政府 (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东乡族自治县达板镇人民政府 (3)_08"/>
                    <pic:cNvPicPr>
                      <a:picLocks noChangeAspect="1"/>
                    </pic:cNvPicPr>
                  </pic:nvPicPr>
                  <pic:blipFill>
                    <a:blip r:embed="rId12"/>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6" name="图片 6" descr="东乡族自治县达板镇人民政府 (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东乡族自治县达板镇人民政府 (3)_09"/>
                    <pic:cNvPicPr>
                      <a:picLocks noChangeAspect="1"/>
                    </pic:cNvPicPr>
                  </pic:nvPicPr>
                  <pic:blipFill>
                    <a:blip r:embed="rId13"/>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5" name="图片 5" descr="东乡族自治县达板镇人民政府 (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东乡族自治县达板镇人民政府 (3)_10"/>
                    <pic:cNvPicPr>
                      <a:picLocks noChangeAspect="1"/>
                    </pic:cNvPicPr>
                  </pic:nvPicPr>
                  <pic:blipFill>
                    <a:blip r:embed="rId14"/>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4" name="图片 4" descr="东乡族自治县达板镇人民政府 (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东乡族自治县达板镇人民政府 (3)_11"/>
                    <pic:cNvPicPr>
                      <a:picLocks noChangeAspect="1"/>
                    </pic:cNvPicPr>
                  </pic:nvPicPr>
                  <pic:blipFill>
                    <a:blip r:embed="rId15"/>
                    <a:stretch>
                      <a:fillRect/>
                    </a:stretch>
                  </pic:blipFill>
                  <pic:spPr>
                    <a:xfrm>
                      <a:off x="0" y="0"/>
                      <a:ext cx="5476875" cy="3872230"/>
                    </a:xfrm>
                    <a:prstGeom prst="rect">
                      <a:avLst/>
                    </a:prstGeom>
                  </pic:spPr>
                </pic:pic>
              </a:graphicData>
            </a:graphic>
          </wp:inline>
        </w:drawing>
      </w:r>
      <w:r>
        <w:rPr>
          <w:rFonts w:hint="eastAsia" w:ascii="宋体" w:hAnsi="宋体"/>
          <w:color w:val="auto"/>
          <w:sz w:val="24"/>
          <w:szCs w:val="24"/>
          <w:lang w:val="zh-CN"/>
        </w:rPr>
        <w:drawing>
          <wp:inline distT="0" distB="0" distL="114300" distR="114300">
            <wp:extent cx="5476875" cy="3872230"/>
            <wp:effectExtent l="0" t="0" r="9525" b="13970"/>
            <wp:docPr id="3" name="图片 3" descr="东乡族自治县达板镇人民政府 (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乡族自治县达板镇人民政府 (3)_12"/>
                    <pic:cNvPicPr>
                      <a:picLocks noChangeAspect="1"/>
                    </pic:cNvPicPr>
                  </pic:nvPicPr>
                  <pic:blipFill>
                    <a:blip r:embed="rId16"/>
                    <a:stretch>
                      <a:fillRect/>
                    </a:stretch>
                  </pic:blipFill>
                  <pic:spPr>
                    <a:xfrm>
                      <a:off x="0" y="0"/>
                      <a:ext cx="5476875" cy="3872230"/>
                    </a:xfrm>
                    <a:prstGeom prst="rect">
                      <a:avLst/>
                    </a:prstGeom>
                  </pic:spPr>
                </pic:pic>
              </a:graphicData>
            </a:graphic>
          </wp:inline>
        </w:drawing>
      </w:r>
    </w:p>
    <w:p w14:paraId="328B00C1">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14:paraId="437751B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14:paraId="6B119EA3">
      <w:pPr>
        <w:spacing w:before="100" w:beforeLines="0" w:after="100" w:afterLines="0"/>
        <w:jc w:val="left"/>
        <w:rPr>
          <w:rFonts w:hint="eastAsia" w:ascii="宋体" w:hAnsi="宋体"/>
          <w:b/>
          <w:bCs/>
          <w:color w:val="auto"/>
          <w:sz w:val="24"/>
          <w:szCs w:val="24"/>
          <w:lang w:val="zh-CN" w:eastAsia="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1866.28万元。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减少468.22万元,下降20.06%,</w:t>
      </w:r>
      <w:r>
        <w:rPr>
          <w:rFonts w:hint="eastAsia" w:ascii="宋体" w:hAnsi="宋体"/>
          <w:color w:val="000000" w:themeColor="text1"/>
          <w:sz w:val="24"/>
          <w:szCs w:val="24"/>
          <w:lang w:val="zh-CN"/>
          <w14:textFill>
            <w14:solidFill>
              <w14:schemeClr w14:val="tx1"/>
            </w14:solidFill>
          </w14:textFill>
        </w:rPr>
        <w:t>主要原因是支出压缩减少</w:t>
      </w:r>
      <w:r>
        <w:rPr>
          <w:rFonts w:hint="eastAsia" w:ascii="宋体" w:hAnsi="宋体"/>
          <w:b/>
          <w:bCs/>
          <w:color w:val="auto"/>
          <w:sz w:val="24"/>
          <w:szCs w:val="24"/>
          <w:lang w:val="zh-CN" w:eastAsia="zh-CN"/>
        </w:rPr>
        <w:t>二、收入决算情况说明</w:t>
      </w:r>
    </w:p>
    <w:p w14:paraId="49F567AA">
      <w:pPr>
        <w:spacing w:before="100" w:beforeLines="0" w:after="100" w:afterLines="0"/>
        <w:jc w:val="left"/>
        <w:rPr>
          <w:rFonts w:hint="eastAsia" w:ascii="宋体" w:hAnsi="宋体"/>
          <w:b/>
          <w:bCs/>
          <w:color w:val="auto"/>
          <w:sz w:val="24"/>
          <w:szCs w:val="24"/>
          <w:lang w:val="zh-CN" w:eastAsia="zh-CN"/>
        </w:rPr>
      </w:pPr>
      <w:r>
        <w:rPr>
          <w:rFonts w:hint="eastAsia" w:ascii="宋体" w:hAnsi="宋体"/>
          <w:color w:val="auto"/>
          <w:sz w:val="24"/>
          <w:szCs w:val="24"/>
          <w:lang w:val="zh-CN"/>
        </w:rPr>
        <w:t>2023年度收入合计1755.17万元,其中：财政拨款收入1755.17万元,占100.00%。</w:t>
      </w:r>
      <w:r>
        <w:rPr>
          <w:rFonts w:hint="eastAsia" w:ascii="宋体" w:hAnsi="宋体"/>
          <w:b/>
          <w:bCs/>
          <w:color w:val="auto"/>
          <w:sz w:val="24"/>
          <w:szCs w:val="24"/>
          <w:lang w:val="zh-CN" w:eastAsia="zh-CN"/>
        </w:rPr>
        <w:t>三、支出决算情况说明</w:t>
      </w:r>
    </w:p>
    <w:p w14:paraId="3574EA81">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auto"/>
          <w:sz w:val="24"/>
          <w:szCs w:val="24"/>
          <w:lang w:val="zh-CN"/>
        </w:rPr>
        <w:t>2023年度支出合计1755.17万元,其中：基本支出1008.69万元,占57.47%；项目支</w:t>
      </w:r>
      <w:r>
        <w:rPr>
          <w:rFonts w:hint="eastAsia" w:ascii="宋体" w:hAnsi="宋体"/>
          <w:color w:val="000000" w:themeColor="text1"/>
          <w:sz w:val="24"/>
          <w:szCs w:val="24"/>
          <w:lang w:val="zh-CN"/>
          <w14:textFill>
            <w14:solidFill>
              <w14:schemeClr w14:val="tx1"/>
            </w14:solidFill>
          </w14:textFill>
        </w:rPr>
        <w:t>出746.48万元,占42.53%。</w:t>
      </w:r>
    </w:p>
    <w:p w14:paraId="476A72FB">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四、财政拨款收入支出决算总体情况说明</w:t>
      </w:r>
    </w:p>
    <w:p w14:paraId="4878673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2023年度财政拨款收、支总计</w:t>
      </w:r>
      <w:r>
        <w:rPr>
          <w:rFonts w:hint="eastAsia" w:ascii="宋体" w:hAnsi="宋体"/>
          <w:color w:val="000000" w:themeColor="text1"/>
          <w:sz w:val="24"/>
          <w:szCs w:val="24"/>
          <w:lang w:val="en-US"/>
          <w14:textFill>
            <w14:solidFill>
              <w14:schemeClr w14:val="tx1"/>
            </w14:solidFill>
          </w14:textFill>
        </w:rPr>
        <w:t>均为</w:t>
      </w:r>
      <w:r>
        <w:rPr>
          <w:rFonts w:hint="eastAsia" w:ascii="宋体" w:hAnsi="宋体"/>
          <w:color w:val="000000" w:themeColor="text1"/>
          <w:sz w:val="24"/>
          <w:szCs w:val="24"/>
          <w:lang w:val="zh-CN"/>
          <w14:textFill>
            <w14:solidFill>
              <w14:schemeClr w14:val="tx1"/>
            </w14:solidFill>
          </w14:textFill>
        </w:rPr>
        <w:t>1798.98万元。与</w:t>
      </w:r>
      <w:r>
        <w:rPr>
          <w:rFonts w:hint="eastAsia" w:ascii="宋体" w:hAnsi="宋体"/>
          <w:color w:val="000000" w:themeColor="text1"/>
          <w:sz w:val="24"/>
          <w:szCs w:val="24"/>
          <w:lang w:val="en-US"/>
          <w14:textFill>
            <w14:solidFill>
              <w14:schemeClr w14:val="tx1"/>
            </w14:solidFill>
          </w14:textFill>
        </w:rPr>
        <w:t>上</w:t>
      </w:r>
      <w:r>
        <w:rPr>
          <w:rFonts w:hint="eastAsia" w:ascii="宋体" w:hAnsi="宋体"/>
          <w:color w:val="000000" w:themeColor="text1"/>
          <w:sz w:val="24"/>
          <w:szCs w:val="24"/>
          <w:lang w:val="zh-CN"/>
          <w14:textFill>
            <w14:solidFill>
              <w14:schemeClr w14:val="tx1"/>
            </w14:solidFill>
          </w14:textFill>
        </w:rPr>
        <w:t>年相比,各减少454.61万元,下降20.17%。主要原因是人员减少</w:t>
      </w:r>
    </w:p>
    <w:p w14:paraId="36F91C4D">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五、一般公共预算财政拨款支出决算情况说明</w:t>
      </w:r>
    </w:p>
    <w:p w14:paraId="2E3AED1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（一）一般公共预算财政拨款支出决算总体情况</w:t>
      </w:r>
    </w:p>
    <w:p w14:paraId="62F10C5C">
      <w:pPr>
        <w:spacing w:before="100" w:beforeLines="0" w:after="100" w:afterLines="0"/>
        <w:jc w:val="left"/>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2023年度一般公共预算财政拨款支出1755.17万元,较上年决算数减少454.62万元,下降20.57%。主要原因是人员减少。</w:t>
      </w:r>
    </w:p>
    <w:p w14:paraId="01B15413">
      <w:pPr>
        <w:numPr>
          <w:ilvl w:val="0"/>
          <w:numId w:val="1"/>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7D1F0646">
      <w:pPr>
        <w:numPr>
          <w:ilvl w:val="0"/>
          <w:numId w:val="0"/>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000000" w:themeColor="text1"/>
          <w:sz w:val="24"/>
          <w:szCs w:val="24"/>
          <w:lang w:val="zh-CN"/>
          <w14:textFill>
            <w14:solidFill>
              <w14:schemeClr w14:val="tx1"/>
            </w14:solidFill>
          </w14:textFill>
        </w:rPr>
        <w:t>1755.17万元，主要用于以下方面：一般公共服务支出1000.88万元,占57.02%；公共安全支出3.00万元,占0.17%；文化旅游体育与传媒支出10.00万元，占0.57%；社会保障和就业支出88.91万元,占5.07%；卫生健康支出35.95万元,占2.05%；农林水支出550.77万元,占31.38%；住房保障支出65.43万元,占3.73%；其他支出0.23万元,占0.01%。</w:t>
      </w:r>
    </w:p>
    <w:p w14:paraId="01E473F8">
      <w:pPr>
        <w:numPr>
          <w:ilvl w:val="0"/>
          <w:numId w:val="1"/>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256C7385">
      <w:pPr>
        <w:numPr>
          <w:ilvl w:val="0"/>
          <w:numId w:val="0"/>
        </w:numPr>
        <w:spacing w:before="100" w:beforeLines="0" w:after="100" w:afterLines="0"/>
        <w:ind w:left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000000" w:themeColor="text1"/>
          <w:sz w:val="24"/>
          <w:szCs w:val="24"/>
          <w:lang w:val="zh-CN"/>
          <w14:textFill>
            <w14:solidFill>
              <w14:schemeClr w14:val="tx1"/>
            </w14:solidFill>
          </w14:textFill>
        </w:rPr>
        <w:t>1650.75万元,支出决算为1755.17万元,完成年初预算的106.33%。其中：</w:t>
      </w:r>
    </w:p>
    <w:p w14:paraId="0CDDAB40">
      <w:pPr>
        <w:numPr>
          <w:numId w:val="0"/>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lang w:val="zh-CN"/>
          <w14:textFill>
            <w14:solidFill>
              <w14:schemeClr w14:val="tx1"/>
            </w14:solidFill>
          </w14:textFill>
        </w:rPr>
        <w:t>一般公共服务支出</w:t>
      </w:r>
      <w:r>
        <w:rPr>
          <w:rFonts w:hint="eastAsia" w:ascii="宋体" w:hAnsi="宋体"/>
          <w:color w:val="000000" w:themeColor="text1"/>
          <w:sz w:val="24"/>
          <w:szCs w:val="24"/>
          <w:lang w:val="zh-CN"/>
          <w14:textFill>
            <w14:solidFill>
              <w14:schemeClr w14:val="tx1"/>
            </w14:solidFill>
          </w14:textFill>
        </w:rPr>
        <w:t>年初预算数为849.92万元,支出决算为1000.88万元,完成年初预算的117.76%,决算数大于预算数的主要原因是地方经济增长</w:t>
      </w:r>
    </w:p>
    <w:p w14:paraId="15885995">
      <w:pPr>
        <w:numPr>
          <w:numId w:val="0"/>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宋体" w:hAnsi="宋体"/>
          <w:b/>
          <w:color w:val="000000" w:themeColor="text1"/>
          <w:sz w:val="24"/>
          <w:szCs w:val="24"/>
          <w:lang w:val="zh-CN"/>
          <w14:textFill>
            <w14:solidFill>
              <w14:schemeClr w14:val="tx1"/>
            </w14:solidFill>
          </w14:textFill>
        </w:rPr>
        <w:t>．外交支出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6383543E">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3</w:t>
      </w:r>
      <w:r>
        <w:rPr>
          <w:rFonts w:hint="eastAsia" w:ascii="宋体" w:hAnsi="宋体"/>
          <w:b/>
          <w:color w:val="000000" w:themeColor="text1"/>
          <w:sz w:val="24"/>
          <w:szCs w:val="24"/>
          <w:lang w:val="zh-CN"/>
          <w14:textFill>
            <w14:solidFill>
              <w14:schemeClr w14:val="tx1"/>
            </w14:solidFill>
          </w14:textFill>
        </w:rPr>
        <w:t>．国防支出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78EB85D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4</w:t>
      </w:r>
      <w:r>
        <w:rPr>
          <w:rFonts w:hint="eastAsia" w:ascii="宋体" w:hAnsi="宋体"/>
          <w:b/>
          <w:color w:val="000000" w:themeColor="text1"/>
          <w:sz w:val="24"/>
          <w:szCs w:val="24"/>
          <w:lang w:val="zh-CN"/>
          <w14:textFill>
            <w14:solidFill>
              <w14:schemeClr w14:val="tx1"/>
            </w14:solidFill>
          </w14:textFill>
        </w:rPr>
        <w:t>．公共安全支出</w:t>
      </w:r>
      <w:r>
        <w:rPr>
          <w:rFonts w:hint="eastAsia" w:ascii="宋体" w:hAnsi="宋体"/>
          <w:color w:val="000000" w:themeColor="text1"/>
          <w:sz w:val="24"/>
          <w:szCs w:val="24"/>
          <w:lang w:val="zh-CN"/>
          <w14:textFill>
            <w14:solidFill>
              <w14:schemeClr w14:val="tx1"/>
            </w14:solidFill>
          </w14:textFill>
        </w:rPr>
        <w:t>年初预算数为0.00万元,支出决算为3.00万元,完成年初预算的%,决算数大于预算数的主要原因是</w:t>
      </w:r>
      <w:r>
        <w:rPr>
          <w:rFonts w:hint="eastAsia" w:ascii="宋体" w:hAnsi="宋体"/>
          <w:color w:val="000000" w:themeColor="text1"/>
          <w:sz w:val="24"/>
          <w:szCs w:val="24"/>
          <w:lang w:val="zh-CN"/>
          <w14:textFill>
            <w14:solidFill>
              <w14:schemeClr w14:val="tx1"/>
            </w14:solidFill>
          </w14:textFill>
        </w:rPr>
        <w:t>支出项目增加。.....</w:t>
      </w:r>
    </w:p>
    <w:p w14:paraId="2B69AE5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5</w:t>
      </w:r>
      <w:r>
        <w:rPr>
          <w:rFonts w:hint="eastAsia" w:ascii="宋体" w:hAnsi="宋体"/>
          <w:b/>
          <w:color w:val="000000" w:themeColor="text1"/>
          <w:sz w:val="24"/>
          <w:szCs w:val="24"/>
          <w:lang w:val="zh-CN"/>
          <w14:textFill>
            <w14:solidFill>
              <w14:schemeClr w14:val="tx1"/>
            </w14:solidFill>
          </w14:textFill>
        </w:rPr>
        <w:t>．教育支出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7831570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6</w:t>
      </w:r>
      <w:r>
        <w:rPr>
          <w:rFonts w:hint="eastAsia" w:ascii="宋体" w:hAnsi="宋体"/>
          <w:b/>
          <w:color w:val="000000" w:themeColor="text1"/>
          <w:sz w:val="24"/>
          <w:szCs w:val="24"/>
          <w:lang w:val="zh-CN"/>
          <w14:textFill>
            <w14:solidFill>
              <w14:schemeClr w14:val="tx1"/>
            </w14:solidFill>
          </w14:textFill>
        </w:rPr>
        <w:t>．科学技术支出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7C02F4CC">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7</w:t>
      </w:r>
      <w:r>
        <w:rPr>
          <w:rFonts w:hint="eastAsia" w:ascii="宋体" w:hAnsi="宋体"/>
          <w:b/>
          <w:color w:val="000000" w:themeColor="text1"/>
          <w:sz w:val="24"/>
          <w:szCs w:val="24"/>
          <w:lang w:val="zh-CN"/>
          <w14:textFill>
            <w14:solidFill>
              <w14:schemeClr w14:val="tx1"/>
            </w14:solidFill>
          </w14:textFill>
        </w:rPr>
        <w:t>．文化旅游体育与传媒支出</w:t>
      </w:r>
      <w:r>
        <w:rPr>
          <w:rFonts w:hint="eastAsia" w:ascii="宋体" w:hAnsi="宋体"/>
          <w:color w:val="000000" w:themeColor="text1"/>
          <w:sz w:val="24"/>
          <w:szCs w:val="24"/>
          <w:lang w:val="zh-CN"/>
          <w14:textFill>
            <w14:solidFill>
              <w14:schemeClr w14:val="tx1"/>
            </w14:solidFill>
          </w14:textFill>
        </w:rPr>
        <w:t>年初预算数为0.00万元,支出决算为10.00万元,完成年初预算的%,决算数大于预算数的主要原因是发展地方特色旅游(</w:t>
      </w:r>
      <w:r>
        <w:rPr>
          <w:rFonts w:hint="default" w:ascii="Times New Roman" w:hAnsi="Times New Roman" w:eastAsia="Times New Roman"/>
          <w:b/>
          <w:color w:val="000000" w:themeColor="text1"/>
          <w:sz w:val="24"/>
          <w:szCs w:val="24"/>
          <w:lang w:val="zh-CN"/>
          <w14:textFill>
            <w14:solidFill>
              <w14:schemeClr w14:val="tx1"/>
            </w14:solidFill>
          </w14:textFill>
        </w:rPr>
        <w:t>8</w:t>
      </w:r>
      <w:r>
        <w:rPr>
          <w:rFonts w:hint="eastAsia" w:ascii="宋体" w:hAnsi="宋体"/>
          <w:b/>
          <w:color w:val="000000" w:themeColor="text1"/>
          <w:sz w:val="24"/>
          <w:szCs w:val="24"/>
          <w:lang w:val="zh-CN"/>
          <w14:textFill>
            <w14:solidFill>
              <w14:schemeClr w14:val="tx1"/>
            </w14:solidFill>
          </w14:textFill>
        </w:rPr>
        <w:t>．社会保障和就业支出</w:t>
      </w:r>
      <w:r>
        <w:rPr>
          <w:rFonts w:hint="eastAsia" w:ascii="宋体" w:hAnsi="宋体"/>
          <w:color w:val="000000" w:themeColor="text1"/>
          <w:sz w:val="24"/>
          <w:szCs w:val="24"/>
          <w:lang w:val="zh-CN"/>
          <w14:textFill>
            <w14:solidFill>
              <w14:schemeClr w14:val="tx1"/>
            </w14:solidFill>
          </w14:textFill>
        </w:rPr>
        <w:t>年初预算数为96.57万元,支出决算为88.91万元,完成年初预算的92.07%,决算数小于预算数的主要原因是人员减少(</w:t>
      </w:r>
      <w:r>
        <w:rPr>
          <w:rFonts w:hint="default" w:ascii="Times New Roman" w:hAnsi="Times New Roman" w:eastAsia="Times New Roman"/>
          <w:b/>
          <w:color w:val="000000" w:themeColor="text1"/>
          <w:sz w:val="24"/>
          <w:szCs w:val="24"/>
          <w:lang w:val="zh-CN"/>
          <w14:textFill>
            <w14:solidFill>
              <w14:schemeClr w14:val="tx1"/>
            </w14:solidFill>
          </w14:textFill>
        </w:rPr>
        <w:t>9</w:t>
      </w:r>
      <w:r>
        <w:rPr>
          <w:rFonts w:hint="eastAsia" w:ascii="宋体" w:hAnsi="宋体"/>
          <w:b/>
          <w:color w:val="000000" w:themeColor="text1"/>
          <w:sz w:val="24"/>
          <w:szCs w:val="24"/>
          <w:lang w:val="zh-CN"/>
          <w14:textFill>
            <w14:solidFill>
              <w14:schemeClr w14:val="tx1"/>
            </w14:solidFill>
          </w14:textFill>
        </w:rPr>
        <w:t>．卫生健康支出</w:t>
      </w:r>
      <w:r>
        <w:rPr>
          <w:rFonts w:hint="eastAsia" w:ascii="宋体" w:hAnsi="宋体"/>
          <w:color w:val="000000" w:themeColor="text1"/>
          <w:sz w:val="24"/>
          <w:szCs w:val="24"/>
          <w:lang w:val="zh-CN"/>
          <w14:textFill>
            <w14:solidFill>
              <w14:schemeClr w14:val="tx1"/>
            </w14:solidFill>
          </w14:textFill>
        </w:rPr>
        <w:t>年初预算数为38.98万元,支出决算为35.95万元,完成年初预算的92.24%,决算数小于预算数的主要原因是人员减少</w:t>
      </w:r>
    </w:p>
    <w:p w14:paraId="1480BD4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10</w:t>
      </w:r>
      <w:r>
        <w:rPr>
          <w:rFonts w:hint="eastAsia" w:ascii="宋体" w:hAnsi="宋体"/>
          <w:b/>
          <w:color w:val="000000" w:themeColor="text1"/>
          <w:sz w:val="24"/>
          <w:szCs w:val="24"/>
          <w:lang w:val="zh-CN"/>
          <w14:textFill>
            <w14:solidFill>
              <w14:schemeClr w14:val="tx1"/>
            </w14:solidFill>
          </w14:textFill>
        </w:rPr>
        <w:t>．节能环保支出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47C336F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11</w:t>
      </w:r>
      <w:r>
        <w:rPr>
          <w:rFonts w:hint="eastAsia" w:ascii="宋体" w:hAnsi="宋体"/>
          <w:b/>
          <w:color w:val="000000" w:themeColor="text1"/>
          <w:sz w:val="24"/>
          <w:szCs w:val="24"/>
          <w:lang w:val="zh-CN"/>
          <w14:textFill>
            <w14:solidFill>
              <w14:schemeClr w14:val="tx1"/>
            </w14:solidFill>
          </w14:textFill>
        </w:rPr>
        <w:t>．城乡社区支出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32E0655D">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12</w:t>
      </w:r>
      <w:r>
        <w:rPr>
          <w:rFonts w:hint="eastAsia" w:ascii="宋体" w:hAnsi="宋体"/>
          <w:b/>
          <w:color w:val="000000" w:themeColor="text1"/>
          <w:sz w:val="24"/>
          <w:szCs w:val="24"/>
          <w:lang w:val="zh-CN"/>
          <w14:textFill>
            <w14:solidFill>
              <w14:schemeClr w14:val="tx1"/>
            </w14:solidFill>
          </w14:textFill>
        </w:rPr>
        <w:t>．农林水支出</w:t>
      </w:r>
      <w:r>
        <w:rPr>
          <w:rFonts w:hint="eastAsia" w:ascii="宋体" w:hAnsi="宋体"/>
          <w:color w:val="000000" w:themeColor="text1"/>
          <w:sz w:val="24"/>
          <w:szCs w:val="24"/>
          <w:lang w:val="zh-CN"/>
          <w14:textFill>
            <w14:solidFill>
              <w14:schemeClr w14:val="tx1"/>
            </w14:solidFill>
          </w14:textFill>
        </w:rPr>
        <w:t>年初预算数为594.89万元,支出决算为550.77万元,完成年初预算的92.58%,决算数小于预算数的主要原因是植被覆盖率高。</w:t>
      </w:r>
    </w:p>
    <w:p w14:paraId="79D73EF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13</w:t>
      </w:r>
      <w:r>
        <w:rPr>
          <w:rFonts w:hint="eastAsia" w:ascii="宋体" w:hAnsi="宋体"/>
          <w:b/>
          <w:color w:val="000000" w:themeColor="text1"/>
          <w:sz w:val="24"/>
          <w:szCs w:val="24"/>
          <w:lang w:val="zh-CN"/>
          <w14:textFill>
            <w14:solidFill>
              <w14:schemeClr w14:val="tx1"/>
            </w14:solidFill>
          </w14:textFill>
        </w:rPr>
        <w:t>．交通运输支出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3AB4FC7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14</w:t>
      </w:r>
      <w:r>
        <w:rPr>
          <w:rFonts w:hint="eastAsia" w:ascii="宋体" w:hAnsi="宋体"/>
          <w:b/>
          <w:color w:val="000000" w:themeColor="text1"/>
          <w:sz w:val="24"/>
          <w:szCs w:val="24"/>
          <w:lang w:val="zh-CN"/>
          <w14:textFill>
            <w14:solidFill>
              <w14:schemeClr w14:val="tx1"/>
            </w14:solidFill>
          </w14:textFill>
        </w:rPr>
        <w:t>．资源勘探工业信息等支出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40553A9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15</w:t>
      </w:r>
      <w:r>
        <w:rPr>
          <w:rFonts w:hint="eastAsia" w:ascii="宋体" w:hAnsi="宋体"/>
          <w:b/>
          <w:color w:val="000000" w:themeColor="text1"/>
          <w:sz w:val="24"/>
          <w:szCs w:val="24"/>
          <w:lang w:val="zh-CN"/>
          <w14:textFill>
            <w14:solidFill>
              <w14:schemeClr w14:val="tx1"/>
            </w14:solidFill>
          </w14:textFill>
        </w:rPr>
        <w:t>．商业服务业等支出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56D0204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16</w:t>
      </w:r>
      <w:r>
        <w:rPr>
          <w:rFonts w:hint="eastAsia" w:ascii="宋体" w:hAnsi="宋体"/>
          <w:b/>
          <w:color w:val="000000" w:themeColor="text1"/>
          <w:sz w:val="24"/>
          <w:szCs w:val="24"/>
          <w:lang w:val="zh-CN"/>
          <w14:textFill>
            <w14:solidFill>
              <w14:schemeClr w14:val="tx1"/>
            </w14:solidFill>
          </w14:textFill>
        </w:rPr>
        <w:t>．金融支出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3B26C66F">
      <w:pPr>
        <w:spacing w:before="100" w:beforeLines="0" w:after="100" w:afterLines="0"/>
        <w:jc w:val="left"/>
        <w:rPr>
          <w:rFonts w:hint="eastAsia" w:ascii="宋体" w:hAnsi="宋体"/>
          <w:color w:val="000000" w:themeColor="text1"/>
          <w:sz w:val="24"/>
          <w:szCs w:val="24"/>
          <w:highlight w:val="red"/>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Times New Roman" w:hAnsi="Times New Roman" w:eastAsia="宋体"/>
          <w:b/>
          <w:color w:val="000000" w:themeColor="text1"/>
          <w:sz w:val="24"/>
          <w:szCs w:val="24"/>
          <w:lang w:val="en-US" w:eastAsia="zh-CN"/>
          <w14:textFill>
            <w14:solidFill>
              <w14:schemeClr w14:val="tx1"/>
            </w14:solidFill>
          </w14:textFill>
        </w:rPr>
        <w:t>7</w:t>
      </w:r>
      <w:r>
        <w:rPr>
          <w:rFonts w:hint="eastAsia" w:ascii="宋体" w:hAnsi="宋体"/>
          <w:b/>
          <w:color w:val="000000" w:themeColor="text1"/>
          <w:sz w:val="24"/>
          <w:szCs w:val="24"/>
          <w:lang w:val="zh-CN"/>
          <w14:textFill>
            <w14:solidFill>
              <w14:schemeClr w14:val="tx1"/>
            </w14:solidFill>
          </w14:textFill>
        </w:rPr>
        <w:t>．自然资源海洋气象等支出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w:t>
      </w:r>
      <w:r>
        <w:rPr>
          <w:rFonts w:hint="eastAsia" w:ascii="宋体" w:hAnsi="宋体"/>
          <w:color w:val="000000" w:themeColor="text1"/>
          <w:sz w:val="24"/>
          <w:szCs w:val="24"/>
          <w:highlight w:val="white"/>
          <w:lang w:val="zh-CN"/>
          <w14:textFill>
            <w14:solidFill>
              <w14:schemeClr w14:val="tx1"/>
            </w14:solidFill>
          </w14:textFill>
        </w:rPr>
        <w:t>主要原因是无变化。</w:t>
      </w:r>
    </w:p>
    <w:p w14:paraId="7CE4DF9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Times New Roman" w:hAnsi="Times New Roman" w:eastAsia="宋体"/>
          <w:b/>
          <w:color w:val="000000" w:themeColor="text1"/>
          <w:sz w:val="24"/>
          <w:szCs w:val="24"/>
          <w:lang w:val="en-US" w:eastAsia="zh-CN"/>
          <w14:textFill>
            <w14:solidFill>
              <w14:schemeClr w14:val="tx1"/>
            </w14:solidFill>
          </w14:textFill>
        </w:rPr>
        <w:t>8</w:t>
      </w:r>
      <w:r>
        <w:rPr>
          <w:rFonts w:hint="eastAsia" w:ascii="宋体" w:hAnsi="宋体"/>
          <w:b/>
          <w:color w:val="000000" w:themeColor="text1"/>
          <w:sz w:val="24"/>
          <w:szCs w:val="24"/>
          <w:lang w:val="zh-CN"/>
          <w14:textFill>
            <w14:solidFill>
              <w14:schemeClr w14:val="tx1"/>
            </w14:solidFill>
          </w14:textFill>
        </w:rPr>
        <w:t>．住房保障支出</w:t>
      </w:r>
      <w:r>
        <w:rPr>
          <w:rFonts w:hint="eastAsia" w:ascii="宋体" w:hAnsi="宋体"/>
          <w:color w:val="000000" w:themeColor="text1"/>
          <w:sz w:val="24"/>
          <w:szCs w:val="24"/>
          <w:lang w:val="zh-CN"/>
          <w14:textFill>
            <w14:solidFill>
              <w14:schemeClr w14:val="tx1"/>
            </w14:solidFill>
          </w14:textFill>
        </w:rPr>
        <w:t>年初预算数为70.40万元,支出决算为65.43万元,完成年初预算的92.94%,决算数小于预算数的主要原因是人员减少。</w:t>
      </w:r>
    </w:p>
    <w:p w14:paraId="1AF7229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19</w:t>
      </w:r>
      <w:r>
        <w:rPr>
          <w:rFonts w:hint="eastAsia" w:ascii="宋体" w:hAnsi="宋体"/>
          <w:b/>
          <w:color w:val="000000" w:themeColor="text1"/>
          <w:sz w:val="24"/>
          <w:szCs w:val="24"/>
          <w:lang w:val="zh-CN"/>
          <w14:textFill>
            <w14:solidFill>
              <w14:schemeClr w14:val="tx1"/>
            </w14:solidFill>
          </w14:textFill>
        </w:rPr>
        <w:t>．粮油物资储备支出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106546E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0</w:t>
      </w:r>
      <w:r>
        <w:rPr>
          <w:rFonts w:hint="eastAsia" w:ascii="宋体" w:hAnsi="宋体"/>
          <w:b/>
          <w:color w:val="000000" w:themeColor="text1"/>
          <w:sz w:val="24"/>
          <w:szCs w:val="24"/>
          <w:lang w:val="zh-CN"/>
          <w14:textFill>
            <w14:solidFill>
              <w14:schemeClr w14:val="tx1"/>
            </w14:solidFill>
          </w14:textFill>
        </w:rPr>
        <w:t>．灾害防治及应急管理支出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09ABC37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lang w:val="zh-CN"/>
          <w14:textFill>
            <w14:solidFill>
              <w14:schemeClr w14:val="tx1"/>
            </w14:solidFill>
          </w14:textFill>
        </w:rPr>
        <w:t>．其他支出</w:t>
      </w:r>
      <w:r>
        <w:rPr>
          <w:rFonts w:hint="eastAsia" w:ascii="宋体" w:hAnsi="宋体"/>
          <w:color w:val="000000" w:themeColor="text1"/>
          <w:sz w:val="24"/>
          <w:szCs w:val="24"/>
          <w:lang w:val="zh-CN"/>
          <w14:textFill>
            <w14:solidFill>
              <w14:schemeClr w14:val="tx1"/>
            </w14:solidFill>
          </w14:textFill>
        </w:rPr>
        <w:t>年初预算数为0.00万元,支出决算为0.23万元,完成年初预算的%,决算数大于预算数的主要原因是各种原因。</w:t>
      </w:r>
    </w:p>
    <w:p w14:paraId="47DE72F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2</w:t>
      </w:r>
      <w:r>
        <w:rPr>
          <w:rFonts w:hint="eastAsia" w:ascii="宋体" w:hAnsi="宋体"/>
          <w:b/>
          <w:color w:val="000000" w:themeColor="text1"/>
          <w:sz w:val="24"/>
          <w:szCs w:val="24"/>
          <w:lang w:val="zh-CN"/>
          <w14:textFill>
            <w14:solidFill>
              <w14:schemeClr w14:val="tx1"/>
            </w14:solidFill>
          </w14:textFill>
        </w:rPr>
        <w:t>．债务还本支出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449E692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3</w:t>
      </w:r>
      <w:r>
        <w:rPr>
          <w:rFonts w:hint="eastAsia" w:ascii="宋体" w:hAnsi="宋体"/>
          <w:b/>
          <w:color w:val="000000" w:themeColor="text1"/>
          <w:sz w:val="24"/>
          <w:szCs w:val="24"/>
          <w:lang w:val="zh-CN"/>
          <w14:textFill>
            <w14:solidFill>
              <w14:schemeClr w14:val="tx1"/>
            </w14:solidFill>
          </w14:textFill>
        </w:rPr>
        <w:t>．债务付息支出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58C8CE7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2</w:t>
      </w:r>
      <w:r>
        <w:rPr>
          <w:rFonts w:hint="eastAsia" w:ascii="Times New Roman" w:hAnsi="Times New Roman"/>
          <w:b/>
          <w:color w:val="000000" w:themeColor="text1"/>
          <w:sz w:val="24"/>
          <w:szCs w:val="24"/>
          <w:lang w:val="en-US" w:eastAsia="zh-CN"/>
          <w14:textFill>
            <w14:solidFill>
              <w14:schemeClr w14:val="tx1"/>
            </w14:solidFill>
          </w14:textFill>
        </w:rPr>
        <w:t>4</w:t>
      </w:r>
      <w:r>
        <w:rPr>
          <w:rFonts w:hint="eastAsia" w:ascii="宋体" w:hAnsi="宋体"/>
          <w:b/>
          <w:color w:val="000000" w:themeColor="text1"/>
          <w:sz w:val="24"/>
          <w:szCs w:val="24"/>
          <w:lang w:val="zh-CN"/>
          <w14:textFill>
            <w14:solidFill>
              <w14:schemeClr w14:val="tx1"/>
            </w14:solidFill>
          </w14:textFill>
        </w:rPr>
        <w:t>．抗疫特别国债安排的支出</w:t>
      </w:r>
      <w:r>
        <w:rPr>
          <w:rFonts w:hint="eastAsia" w:ascii="宋体" w:hAnsi="宋体"/>
          <w:color w:val="000000" w:themeColor="text1"/>
          <w:sz w:val="24"/>
          <w:szCs w:val="24"/>
          <w:lang w:val="zh-CN"/>
          <w14:textFill>
            <w14:solidFill>
              <w14:schemeClr w14:val="tx1"/>
            </w14:solidFill>
          </w14:textFill>
        </w:rPr>
        <w:t>年初预算数为0.00万元,支出决算为0.00万元,完成年初预算的0.0%,决算数小于预算数的主要原因是无变化。</w:t>
      </w:r>
    </w:p>
    <w:p w14:paraId="2A8CC957">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六、一般公共预算财政拨款基本支出决算情况说明</w:t>
      </w:r>
    </w:p>
    <w:p w14:paraId="6175D44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2023年度一般公共预算财政拨款基本支出1008.69万元。其中：</w:t>
      </w:r>
    </w:p>
    <w:p w14:paraId="7F06A9C4">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人员经费</w:t>
      </w:r>
      <w:r>
        <w:rPr>
          <w:rFonts w:hint="eastAsia" w:ascii="宋体" w:hAnsi="宋体"/>
          <w:color w:val="000000" w:themeColor="text1"/>
          <w:sz w:val="24"/>
          <w:szCs w:val="24"/>
          <w:lang w:val="zh-CN"/>
          <w14:textFill>
            <w14:solidFill>
              <w14:schemeClr w14:val="tx1"/>
            </w14:solidFill>
          </w14:textFill>
        </w:rPr>
        <w:t>904.28万元,较上年决算数减少199.14万元,下降18.05%,主要原因是人员减少。人员经费用途主要包括人员减少。</w:t>
      </w:r>
    </w:p>
    <w:p w14:paraId="78B204B5">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公用经费</w:t>
      </w:r>
      <w:r>
        <w:rPr>
          <w:rFonts w:hint="eastAsia" w:ascii="宋体" w:hAnsi="宋体"/>
          <w:color w:val="000000" w:themeColor="text1"/>
          <w:sz w:val="24"/>
          <w:szCs w:val="24"/>
          <w:lang w:val="zh-CN"/>
          <w14:textFill>
            <w14:solidFill>
              <w14:schemeClr w14:val="tx1"/>
            </w14:solidFill>
          </w14:textFill>
        </w:rPr>
        <w:t>104.40万元,较上年决算数减少67.01万元,下降39.09%,主要原因是支出减少。公用经费用途主要包括干部职工调动减少</w:t>
      </w:r>
    </w:p>
    <w:p w14:paraId="6BCA245C">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七、政府性基金预算财政拨款收支决算情况说明</w:t>
      </w:r>
    </w:p>
    <w:p w14:paraId="5FDEC79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(部分单位无政府性基金预算财政拨款收支的,说明如下类似内容：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本部门2023年度无政府性基金收入,也没有使用政府性基金安排的支出。</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7C09BAB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2023年度政府性基金预算财政拨款年初结转和结余0.00万元,本年收入0.00万元,本年支出0.00万元,年末结转和结余0.00</w:t>
      </w:r>
      <w:r>
        <w:rPr>
          <w:rFonts w:hint="eastAsia" w:ascii="宋体" w:hAnsi="宋体"/>
          <w:color w:val="000000" w:themeColor="text1"/>
          <w:sz w:val="24"/>
          <w:szCs w:val="24"/>
          <w:lang w:val="en-US" w:eastAsia="zh-CN"/>
          <w14:textFill>
            <w14:solidFill>
              <w14:schemeClr w14:val="tx1"/>
            </w14:solidFill>
          </w14:textFill>
        </w:rPr>
        <w:t>万元</w:t>
      </w:r>
      <w:r>
        <w:rPr>
          <w:rFonts w:hint="eastAsia" w:ascii="宋体" w:hAnsi="宋体"/>
          <w:color w:val="000000" w:themeColor="text1"/>
          <w:sz w:val="24"/>
          <w:szCs w:val="24"/>
          <w:lang w:val="zh-CN"/>
          <w14:textFill>
            <w14:solidFill>
              <w14:schemeClr w14:val="tx1"/>
            </w14:solidFill>
          </w14:textFill>
        </w:rPr>
        <w:t>,无变化</w:t>
      </w:r>
    </w:p>
    <w:p w14:paraId="29B99B2F">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八、国有资本经营预算财政拨款支出情况说明</w:t>
      </w:r>
    </w:p>
    <w:p w14:paraId="20AE2AA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(部分单位无国有资本经营预算财政拨款,说明如下类似内容：本部门2023年度没有使用国有资本经营预算安排的支出。)</w:t>
      </w:r>
    </w:p>
    <w:p w14:paraId="2401630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2023年度国有资本经营预算财政拨款本年支出0.00万元,主要用于无变化</w:t>
      </w:r>
    </w:p>
    <w:p w14:paraId="12A003E4">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九</w:t>
      </w:r>
      <w:r>
        <w:rPr>
          <w:rFonts w:hint="eastAsia" w:ascii="宋体" w:hAnsi="宋体"/>
          <w:b/>
          <w:bCs/>
          <w:color w:val="000000" w:themeColor="text1"/>
          <w:sz w:val="24"/>
          <w:szCs w:val="24"/>
          <w:lang w:val="zh-CN" w:eastAsia="zh-CN"/>
          <w14:textFill>
            <w14:solidFill>
              <w14:schemeClr w14:val="tx1"/>
            </w14:solidFill>
          </w14:textFill>
        </w:rPr>
        <w:t>、财政拨款</w:t>
      </w:r>
      <w:r>
        <w:rPr>
          <w:rFonts w:hint="default" w:ascii="宋体" w:hAnsi="宋体"/>
          <w:b/>
          <w:bCs/>
          <w:color w:val="000000" w:themeColor="text1"/>
          <w:sz w:val="24"/>
          <w:szCs w:val="24"/>
          <w:lang w:val="zh-CN" w:eastAsia="zh-CN"/>
          <w14:textFill>
            <w14:solidFill>
              <w14:schemeClr w14:val="tx1"/>
            </w14:solidFill>
          </w14:textFill>
        </w:rPr>
        <w:t>“</w:t>
      </w:r>
      <w:r>
        <w:rPr>
          <w:rFonts w:hint="eastAsia" w:ascii="宋体" w:hAnsi="宋体"/>
          <w:b/>
          <w:bCs/>
          <w:color w:val="000000" w:themeColor="text1"/>
          <w:sz w:val="24"/>
          <w:szCs w:val="24"/>
          <w:lang w:val="zh-CN" w:eastAsia="zh-CN"/>
          <w14:textFill>
            <w14:solidFill>
              <w14:schemeClr w14:val="tx1"/>
            </w14:solidFill>
          </w14:textFill>
        </w:rPr>
        <w:t>三公</w:t>
      </w:r>
      <w:r>
        <w:rPr>
          <w:rFonts w:hint="default" w:ascii="宋体" w:hAnsi="宋体"/>
          <w:b/>
          <w:bCs/>
          <w:color w:val="000000" w:themeColor="text1"/>
          <w:sz w:val="24"/>
          <w:szCs w:val="24"/>
          <w:lang w:val="zh-CN" w:eastAsia="zh-CN"/>
          <w14:textFill>
            <w14:solidFill>
              <w14:schemeClr w14:val="tx1"/>
            </w14:solidFill>
          </w14:textFill>
        </w:rPr>
        <w:t>”</w:t>
      </w:r>
      <w:r>
        <w:rPr>
          <w:rFonts w:hint="eastAsia" w:ascii="宋体" w:hAnsi="宋体"/>
          <w:b/>
          <w:bCs/>
          <w:color w:val="000000" w:themeColor="text1"/>
          <w:sz w:val="24"/>
          <w:szCs w:val="24"/>
          <w:lang w:val="zh-CN" w:eastAsia="zh-CN"/>
          <w14:textFill>
            <w14:solidFill>
              <w14:schemeClr w14:val="tx1"/>
            </w14:solidFill>
          </w14:textFill>
        </w:rPr>
        <w:t>经费支出决算情况说明</w:t>
      </w:r>
    </w:p>
    <w:p w14:paraId="23744CC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(部分差额拨款单位,无</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我单位属于…,财政未保障我单位</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569D961A">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(一)</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经费财政拨款支出总体情况说明</w:t>
      </w:r>
    </w:p>
    <w:p w14:paraId="56A637C4">
      <w:pPr>
        <w:numPr>
          <w:ilvl w:val="0"/>
          <w:numId w:val="2"/>
        </w:numPr>
        <w:spacing w:before="100" w:beforeLines="0" w:after="100" w:afterLines="0"/>
        <w:jc w:val="left"/>
        <w:rPr>
          <w:rFonts w:hint="eastAsia" w:ascii="宋体" w:hAnsi="宋体"/>
          <w:b/>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三公</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经费支出</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预算数为0.00万元,支出决算为0.00万元,决算数小于预算数的主要原因是无(由部门根据实际情况补充),</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无变化</w:t>
      </w:r>
    </w:p>
    <w:p w14:paraId="69282CDC">
      <w:pPr>
        <w:numPr>
          <w:ilvl w:val="0"/>
          <w:numId w:val="2"/>
        </w:numPr>
        <w:spacing w:before="100" w:beforeLines="0" w:after="100" w:afterLines="0"/>
        <w:jc w:val="left"/>
        <w:rPr>
          <w:rFonts w:hint="eastAsia" w:ascii="宋体" w:hAnsi="宋体"/>
          <w:b/>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经费财政拨款支出决算具体情况说明</w:t>
      </w:r>
    </w:p>
    <w:p w14:paraId="407DA24F">
      <w:pPr>
        <w:numPr>
          <w:ilvl w:val="0"/>
          <w:numId w:val="2"/>
        </w:numPr>
        <w:spacing w:before="100" w:beforeLines="0" w:after="100" w:afterLines="0"/>
        <w:ind w:left="0" w:leftChars="0" w:firstLine="0" w:firstLineChars="0"/>
        <w:jc w:val="left"/>
        <w:rPr>
          <w:rFonts w:hint="eastAsia" w:ascii="宋体" w:hAnsi="宋体"/>
          <w:b/>
          <w:color w:val="000000" w:themeColor="text1"/>
          <w:sz w:val="24"/>
          <w:szCs w:val="24"/>
          <w:lang w:val="zh-CN"/>
          <w14:textFill>
            <w14:solidFill>
              <w14:schemeClr w14:val="tx1"/>
            </w14:solidFill>
          </w14:textFill>
        </w:rPr>
      </w:pPr>
      <w:r>
        <w:rPr>
          <w:rFonts w:hint="default" w:ascii="Times New Roman" w:hAnsi="Times New Roman" w:eastAsia="Times New Roman"/>
          <w:b/>
          <w:color w:val="000000" w:themeColor="text1"/>
          <w:sz w:val="24"/>
          <w:szCs w:val="24"/>
          <w:lang w:val="zh-CN"/>
          <w14:textFill>
            <w14:solidFill>
              <w14:schemeClr w14:val="tx1"/>
            </w14:solidFill>
          </w14:textFill>
        </w:rPr>
        <w:t>1.</w:t>
      </w:r>
      <w:r>
        <w:rPr>
          <w:rFonts w:hint="eastAsia" w:ascii="宋体" w:hAnsi="宋体"/>
          <w:b/>
          <w:color w:val="000000" w:themeColor="text1"/>
          <w:sz w:val="24"/>
          <w:szCs w:val="24"/>
          <w:lang w:val="zh-CN"/>
          <w14:textFill>
            <w14:solidFill>
              <w14:schemeClr w14:val="tx1"/>
            </w14:solidFill>
          </w14:textFill>
        </w:rPr>
        <w:t>因公出国(境)费用</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预算数为0.00万元,支出决算为0.00万元,决算数小于预算数的主要原因是无(由部门根据实际情况补充),</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无变化</w:t>
      </w:r>
      <w:bookmarkStart w:id="0" w:name="_GoBack"/>
      <w:bookmarkEnd w:id="0"/>
    </w:p>
    <w:p w14:paraId="5E791D1B">
      <w:pPr>
        <w:numPr>
          <w:ilvl w:val="0"/>
          <w:numId w:val="3"/>
        </w:numPr>
        <w:spacing w:before="100" w:beforeLines="0" w:after="100" w:afterLines="0"/>
        <w:ind w:leftChars="0" w:firstLine="482" w:firstLineChars="200"/>
        <w:jc w:val="left"/>
        <w:rPr>
          <w:rFonts w:hint="eastAsia" w:ascii="宋体" w:hAnsi="宋体"/>
          <w:b/>
          <w:color w:val="000000" w:themeColor="text1"/>
          <w:sz w:val="24"/>
          <w:szCs w:val="24"/>
          <w:lang w:val="zh-CN"/>
          <w14:textFill>
            <w14:solidFill>
              <w14:schemeClr w14:val="tx1"/>
            </w14:solidFill>
          </w14:textFill>
        </w:rPr>
      </w:pPr>
      <w:r>
        <w:rPr>
          <w:rFonts w:hint="eastAsia" w:ascii="宋体" w:hAnsi="宋体"/>
          <w:b/>
          <w:color w:val="000000" w:themeColor="text1"/>
          <w:sz w:val="24"/>
          <w:szCs w:val="24"/>
          <w:lang w:val="zh-CN"/>
          <w14:textFill>
            <w14:solidFill>
              <w14:schemeClr w14:val="tx1"/>
            </w14:solidFill>
          </w14:textFill>
        </w:rPr>
        <w:t>公务用车购置及运行维护费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预算数为0.00万元,支出决算为0.00万元,决算数小于预算数的主要原因是无</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其中：公务用车购置费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预算数为0.00万元,支出决算为0.00万元,决算数小于预算数的主要原因是无变化(由部门根据实际情况补充),</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zh-CN"/>
          <w14:textFill>
            <w14:solidFill>
              <w14:schemeClr w14:val="tx1"/>
            </w14:solidFill>
          </w14:textFill>
        </w:rPr>
        <w:t>无变化(</w:t>
      </w:r>
      <w:r>
        <w:rPr>
          <w:rFonts w:hint="eastAsia" w:ascii="宋体" w:hAnsi="宋体"/>
          <w:b/>
          <w:color w:val="000000" w:themeColor="text1"/>
          <w:sz w:val="24"/>
          <w:szCs w:val="24"/>
          <w:lang w:val="zh-CN"/>
          <w14:textFill>
            <w14:solidFill>
              <w14:schemeClr w14:val="tx1"/>
            </w14:solidFill>
          </w14:textFill>
        </w:rPr>
        <w:t>公务用车运行维护费</w:t>
      </w:r>
      <w:r>
        <w:rPr>
          <w:rFonts w:hint="eastAsia" w:ascii="宋体" w:hAnsi="宋体"/>
          <w:color w:val="000000" w:themeColor="text1"/>
          <w:sz w:val="24"/>
          <w:szCs w:val="24"/>
          <w:lang w:val="en-US"/>
          <w14:textFill>
            <w14:solidFill>
              <w14:schemeClr w14:val="tx1"/>
            </w14:solidFill>
          </w14:textFill>
        </w:rPr>
        <w:t>全年</w:t>
      </w:r>
      <w:r>
        <w:rPr>
          <w:rFonts w:hint="eastAsia" w:ascii="宋体" w:hAnsi="宋体"/>
          <w:color w:val="000000" w:themeColor="text1"/>
          <w:sz w:val="24"/>
          <w:szCs w:val="24"/>
          <w:lang w:val="zh-CN"/>
          <w14:textFill>
            <w14:solidFill>
              <w14:schemeClr w14:val="tx1"/>
            </w14:solidFill>
          </w14:textFill>
        </w:rPr>
        <w:t>预算数为0.00万元,支出决算为0.00万元,决算数小于预算数的主要原因是无变化,</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zh-CN"/>
          <w14:textFill>
            <w14:solidFill>
              <w14:schemeClr w14:val="tx1"/>
            </w14:solidFill>
          </w14:textFill>
        </w:rPr>
        <w:t>无变化(</w:t>
      </w:r>
      <w:r>
        <w:rPr>
          <w:rFonts w:hint="eastAsia" w:ascii="宋体" w:hAnsi="宋体"/>
          <w:b/>
          <w:color w:val="000000" w:themeColor="text1"/>
          <w:sz w:val="24"/>
          <w:szCs w:val="24"/>
          <w:lang w:val="zh-CN"/>
          <w14:textFill>
            <w14:solidFill>
              <w14:schemeClr w14:val="tx1"/>
            </w14:solidFill>
          </w14:textFill>
        </w:rPr>
        <w:t>公务接待费</w:t>
      </w:r>
      <w:r>
        <w:rPr>
          <w:rFonts w:hint="eastAsia" w:ascii="宋体" w:hAnsi="宋体"/>
          <w:color w:val="000000" w:themeColor="text1"/>
          <w:sz w:val="24"/>
          <w:szCs w:val="24"/>
          <w:lang w:val="en-US"/>
          <w14:textFill>
            <w14:solidFill>
              <w14:schemeClr w14:val="tx1"/>
            </w14:solidFill>
          </w14:textFill>
        </w:rPr>
        <w:t>全</w:t>
      </w:r>
      <w:r>
        <w:rPr>
          <w:rFonts w:hint="eastAsia" w:ascii="宋体" w:hAnsi="宋体"/>
          <w:color w:val="000000" w:themeColor="text1"/>
          <w:sz w:val="24"/>
          <w:szCs w:val="24"/>
          <w:lang w:val="zh-CN"/>
          <w14:textFill>
            <w14:solidFill>
              <w14:schemeClr w14:val="tx1"/>
            </w14:solidFill>
          </w14:textFill>
        </w:rPr>
        <w:t>年预算数为0.00万元,支出决算为0.00万元,决算数小于预算数的主要原因是无(由部门根据实际情况补充),</w:t>
      </w:r>
      <w:r>
        <w:rPr>
          <w:rFonts w:hint="eastAsia" w:ascii="宋体" w:hAnsi="宋体"/>
          <w:color w:val="000000" w:themeColor="text1"/>
          <w:sz w:val="24"/>
          <w:szCs w:val="24"/>
          <w:lang w:val="en-US"/>
          <w14:textFill>
            <w14:solidFill>
              <w14:schemeClr w14:val="tx1"/>
            </w14:solidFill>
          </w14:textFill>
        </w:rPr>
        <w:t>较上年决算数</w:t>
      </w:r>
      <w:r>
        <w:rPr>
          <w:rFonts w:hint="eastAsia" w:ascii="宋体" w:hAnsi="宋体"/>
          <w:color w:val="000000" w:themeColor="text1"/>
          <w:sz w:val="24"/>
          <w:szCs w:val="24"/>
          <w:lang w:val="en-US" w:eastAsia="zh-CN"/>
          <w14:textFill>
            <w14:solidFill>
              <w14:schemeClr w14:val="tx1"/>
            </w14:solidFill>
          </w14:textFill>
        </w:rPr>
        <w:t>减少0.0</w:t>
      </w:r>
      <w:r>
        <w:rPr>
          <w:rFonts w:hint="eastAsia" w:ascii="宋体" w:hAnsi="宋体"/>
          <w:color w:val="000000" w:themeColor="text1"/>
          <w:sz w:val="24"/>
          <w:szCs w:val="24"/>
          <w:lang w:val="zh-CN"/>
          <w14:textFill>
            <w14:solidFill>
              <w14:schemeClr w14:val="tx1"/>
            </w14:solidFill>
          </w14:textFill>
        </w:rPr>
        <w:t>万元</w:t>
      </w:r>
      <w:r>
        <w:rPr>
          <w:rFonts w:hint="eastAsia" w:ascii="宋体" w:hAnsi="宋体"/>
          <w:color w:val="000000" w:themeColor="text1"/>
          <w:sz w:val="24"/>
          <w:szCs w:val="24"/>
          <w:lang w:val="en-US"/>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下降</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14:textFill>
            <w14:solidFill>
              <w14:schemeClr w14:val="tx1"/>
            </w14:solidFill>
          </w14:textFill>
        </w:rPr>
        <w:t>,主要原因是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zh-CN"/>
          <w14:textFill>
            <w14:solidFill>
              <w14:schemeClr w14:val="tx1"/>
            </w14:solidFill>
          </w14:textFill>
        </w:rPr>
        <w:t>(外事接待费支出0.00万元。主要是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其他国内公务接待支出</w:t>
      </w:r>
      <w:r>
        <w:rPr>
          <w:rFonts w:hint="eastAsia" w:ascii="宋体" w:hAnsi="宋体"/>
          <w:color w:val="000000" w:themeColor="text1"/>
          <w:sz w:val="24"/>
          <w:szCs w:val="24"/>
          <w:lang w:val="zh-CN"/>
          <w14:textFill>
            <w14:solidFill>
              <w14:schemeClr w14:val="tx1"/>
            </w14:solidFill>
          </w14:textFill>
        </w:rPr>
        <w:t>万元。主要是</w:t>
      </w:r>
      <w:r>
        <w:rPr>
          <w:rFonts w:hint="eastAsia" w:ascii="宋体" w:hAnsi="宋体"/>
          <w:color w:val="000000" w:themeColor="text1"/>
          <w:sz w:val="24"/>
          <w:szCs w:val="24"/>
          <w:lang w:val="en-US" w:eastAsia="zh-CN"/>
          <w14:textFill>
            <w14:solidFill>
              <w14:schemeClr w14:val="tx1"/>
            </w14:solidFill>
          </w14:textFill>
        </w:rPr>
        <w:t>无</w:t>
      </w:r>
      <w:r>
        <w:rPr>
          <w:rFonts w:hint="eastAsia" w:ascii="宋体" w:hAnsi="宋体"/>
          <w:color w:val="000000" w:themeColor="text1"/>
          <w:sz w:val="24"/>
          <w:szCs w:val="24"/>
          <w:lang w:val="zh-CN"/>
          <w14:textFill>
            <w14:solidFill>
              <w14:schemeClr w14:val="tx1"/>
            </w14:solidFill>
          </w14:textFill>
        </w:rPr>
        <w:t>(</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三公</w:t>
      </w:r>
      <w:r>
        <w:rPr>
          <w:rFonts w:hint="default" w:ascii="Times New Roman" w:hAnsi="Times New Roman" w:eastAsia="Times New Roman"/>
          <w:b/>
          <w:color w:val="000000" w:themeColor="text1"/>
          <w:sz w:val="24"/>
          <w:szCs w:val="24"/>
          <w:lang w:val="zh-CN"/>
          <w14:textFill>
            <w14:solidFill>
              <w14:schemeClr w14:val="tx1"/>
            </w14:solidFill>
          </w14:textFill>
        </w:rPr>
        <w:t>”</w:t>
      </w:r>
      <w:r>
        <w:rPr>
          <w:rFonts w:hint="eastAsia" w:ascii="宋体" w:hAnsi="宋体"/>
          <w:b/>
          <w:color w:val="000000" w:themeColor="text1"/>
          <w:sz w:val="24"/>
          <w:szCs w:val="24"/>
          <w:lang w:val="zh-CN"/>
          <w14:textFill>
            <w14:solidFill>
              <w14:schemeClr w14:val="tx1"/>
            </w14:solidFill>
          </w14:textFill>
        </w:rPr>
        <w:t>经费财政拨款支出决算实物量情况</w:t>
      </w:r>
    </w:p>
    <w:p w14:paraId="017D5F2D">
      <w:pPr>
        <w:numPr>
          <w:ilvl w:val="0"/>
          <w:numId w:val="0"/>
        </w:numPr>
        <w:spacing w:before="100" w:beforeLines="0" w:after="100" w:afterLines="0"/>
        <w:jc w:val="left"/>
        <w:rPr>
          <w:rFonts w:hint="eastAsia" w:ascii="宋体" w:hAnsi="宋体"/>
          <w:b/>
          <w:color w:val="000000" w:themeColor="text1"/>
          <w:sz w:val="24"/>
          <w:szCs w:val="24"/>
          <w:lang w:val="zh-CN"/>
          <w14:textFill>
            <w14:solidFill>
              <w14:schemeClr w14:val="tx1"/>
            </w14:solidFill>
          </w14:textFill>
        </w:rPr>
      </w:pPr>
    </w:p>
    <w:p w14:paraId="7E6086A6">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2023年度本部门</w:t>
      </w:r>
      <w:r>
        <w:rPr>
          <w:rFonts w:hint="eastAsia" w:ascii="宋体" w:hAnsi="宋体"/>
          <w:b/>
          <w:color w:val="000000" w:themeColor="text1"/>
          <w:sz w:val="24"/>
          <w:szCs w:val="24"/>
          <w:lang w:val="zh-CN"/>
          <w14:textFill>
            <w14:solidFill>
              <w14:schemeClr w14:val="tx1"/>
            </w14:solidFill>
          </w14:textFill>
        </w:rPr>
        <w:t>因公出国(境)</w:t>
      </w:r>
      <w:r>
        <w:rPr>
          <w:rFonts w:hint="eastAsia" w:ascii="宋体" w:hAnsi="宋体"/>
          <w:color w:val="000000" w:themeColor="text1"/>
          <w:sz w:val="24"/>
          <w:szCs w:val="24"/>
          <w:lang w:val="zh-CN"/>
          <w14:textFill>
            <w14:solidFill>
              <w14:schemeClr w14:val="tx1"/>
            </w14:solidFill>
          </w14:textFill>
        </w:rPr>
        <w:t>共计个团组,</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r>
        <w:rPr>
          <w:rFonts w:hint="eastAsia" w:ascii="宋体" w:hAnsi="宋体"/>
          <w:b/>
          <w:color w:val="000000" w:themeColor="text1"/>
          <w:sz w:val="24"/>
          <w:szCs w:val="24"/>
          <w:lang w:val="zh-CN"/>
          <w14:textFill>
            <w14:solidFill>
              <w14:schemeClr w14:val="tx1"/>
            </w14:solidFill>
          </w14:textFill>
        </w:rPr>
        <w:t>公务用车购置</w:t>
      </w:r>
      <w:r>
        <w:rPr>
          <w:rFonts w:hint="eastAsia" w:ascii="宋体" w:hAnsi="宋体"/>
          <w:color w:val="000000" w:themeColor="text1"/>
          <w:sz w:val="24"/>
          <w:szCs w:val="24"/>
          <w:lang w:val="zh-CN"/>
          <w14:textFill>
            <w14:solidFill>
              <w14:schemeClr w14:val="tx1"/>
            </w14:solidFill>
          </w14:textFill>
        </w:rPr>
        <w:t>辆,</w:t>
      </w:r>
      <w:r>
        <w:rPr>
          <w:rFonts w:hint="eastAsia" w:ascii="宋体" w:hAnsi="宋体"/>
          <w:b/>
          <w:color w:val="000000" w:themeColor="text1"/>
          <w:sz w:val="24"/>
          <w:szCs w:val="24"/>
          <w:lang w:val="zh-CN"/>
          <w14:textFill>
            <w14:solidFill>
              <w14:schemeClr w14:val="tx1"/>
            </w14:solidFill>
          </w14:textFill>
        </w:rPr>
        <w:t>公务用车保有量</w:t>
      </w:r>
      <w:r>
        <w:rPr>
          <w:rFonts w:hint="eastAsia" w:ascii="宋体" w:hAnsi="宋体"/>
          <w:color w:val="000000" w:themeColor="text1"/>
          <w:sz w:val="24"/>
          <w:szCs w:val="24"/>
          <w:lang w:val="zh-CN"/>
          <w14:textFill>
            <w14:solidFill>
              <w14:schemeClr w14:val="tx1"/>
            </w14:solidFill>
          </w14:textFill>
        </w:rPr>
        <w:t>为辆；</w:t>
      </w:r>
      <w:r>
        <w:rPr>
          <w:rFonts w:hint="eastAsia" w:ascii="宋体" w:hAnsi="宋体"/>
          <w:b/>
          <w:color w:val="000000" w:themeColor="text1"/>
          <w:sz w:val="24"/>
          <w:szCs w:val="24"/>
          <w:lang w:val="zh-CN"/>
          <w14:textFill>
            <w14:solidFill>
              <w14:schemeClr w14:val="tx1"/>
            </w14:solidFill>
          </w14:textFill>
        </w:rPr>
        <w:t>国内公务接待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人,其中：</w:t>
      </w:r>
      <w:r>
        <w:rPr>
          <w:rFonts w:hint="eastAsia" w:ascii="宋体" w:hAnsi="宋体"/>
          <w:b/>
          <w:color w:val="000000" w:themeColor="text1"/>
          <w:sz w:val="24"/>
          <w:szCs w:val="24"/>
          <w:lang w:val="zh-CN"/>
          <w14:textFill>
            <w14:solidFill>
              <w14:schemeClr w14:val="tx1"/>
            </w14:solidFill>
          </w14:textFill>
        </w:rPr>
        <w:t>外事接待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r>
        <w:rPr>
          <w:rFonts w:hint="eastAsia" w:ascii="宋体" w:hAnsi="宋体"/>
          <w:b/>
          <w:color w:val="000000" w:themeColor="text1"/>
          <w:sz w:val="24"/>
          <w:szCs w:val="24"/>
          <w:lang w:val="zh-CN"/>
          <w14:textFill>
            <w14:solidFill>
              <w14:schemeClr w14:val="tx1"/>
            </w14:solidFill>
          </w14:textFill>
        </w:rPr>
        <w:t>国(境)外公务接待</w:t>
      </w:r>
      <w:r>
        <w:rPr>
          <w:rFonts w:hint="eastAsia" w:ascii="宋体" w:hAnsi="宋体"/>
          <w:color w:val="000000" w:themeColor="text1"/>
          <w:sz w:val="24"/>
          <w:szCs w:val="24"/>
          <w:lang w:val="zh-CN"/>
          <w14:textFill>
            <w14:solidFill>
              <w14:schemeClr w14:val="tx1"/>
            </w14:solidFill>
          </w14:textFill>
        </w:rPr>
        <w:t>批次,</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lang w:val="zh-CN"/>
          <w14:textFill>
            <w14:solidFill>
              <w14:schemeClr w14:val="tx1"/>
            </w14:solidFill>
          </w14:textFill>
        </w:rPr>
        <w:t>人。</w:t>
      </w:r>
    </w:p>
    <w:p w14:paraId="6C2E65AB">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十</w:t>
      </w:r>
      <w:r>
        <w:rPr>
          <w:rFonts w:hint="eastAsia" w:ascii="宋体" w:hAnsi="宋体"/>
          <w:b/>
          <w:bCs/>
          <w:color w:val="000000" w:themeColor="text1"/>
          <w:sz w:val="24"/>
          <w:szCs w:val="24"/>
          <w:lang w:val="zh-CN" w:eastAsia="zh-CN"/>
          <w14:textFill>
            <w14:solidFill>
              <w14:schemeClr w14:val="tx1"/>
            </w14:solidFill>
          </w14:textFill>
        </w:rPr>
        <w:t>、机关运行经费支出情况说明</w:t>
      </w:r>
    </w:p>
    <w:p w14:paraId="36F9FBF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(部分单位无机关运行经费支出的,说明如下类似内容：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我单位2023年度无机关运行相关经费。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195E8A3F">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2023年度本部门机关运行经费支出104.40万元,机关运行经费主要用于开支办公经费，基础设施维修(具体开支情况的经济科目进行说明)。机关运行经费较上年决算数减少67.01万元,下降39.09%,主要原因是办公设施设备购置经费增加(减少)/资产运行维护支出增加(减少)/信息系统运行维护支出增加(减少)/人员编制数量增加(减少)/落实过紧日子要求压减资金支出等，。</w:t>
      </w:r>
    </w:p>
    <w:p w14:paraId="334124C9">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本年度会议费支出0.00万元,较上年决算数减少0.0万元,下降%,主要原因是无变化(由部门根据实际情况补充)。本年度培训费支出0.00万元,较上年决算数减少0.0万元,下降%,主要原因是无变化</w:t>
      </w:r>
    </w:p>
    <w:p w14:paraId="1166502A">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十一、政府采购支出情况说明</w:t>
      </w:r>
    </w:p>
    <w:p w14:paraId="325F8FC8">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(部分单位无政府采购支出的,说明如下类似内容：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我单位2023年度无政府采购相关经费。</w:t>
      </w:r>
      <w:r>
        <w:rPr>
          <w:rFonts w:hint="default" w:ascii="宋体" w:hAnsi="宋体"/>
          <w:color w:val="000000" w:themeColor="text1"/>
          <w:sz w:val="24"/>
          <w:szCs w:val="24"/>
          <w:lang w:val="zh-CN"/>
          <w14:textFill>
            <w14:solidFill>
              <w14:schemeClr w14:val="tx1"/>
            </w14:solidFill>
          </w14:textFill>
        </w:rPr>
        <w:t>”</w:t>
      </w:r>
      <w:r>
        <w:rPr>
          <w:rFonts w:hint="eastAsia" w:ascii="宋体" w:hAnsi="宋体"/>
          <w:color w:val="000000" w:themeColor="text1"/>
          <w:sz w:val="24"/>
          <w:szCs w:val="24"/>
          <w:lang w:val="zh-CN"/>
          <w14:textFill>
            <w14:solidFill>
              <w14:schemeClr w14:val="tx1"/>
            </w14:solidFill>
          </w14:textFill>
        </w:rPr>
        <w:t>)</w:t>
      </w:r>
    </w:p>
    <w:p w14:paraId="73D1BC72">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en-US" w:eastAsia="zh-CN"/>
          <w14:textFill>
            <w14:solidFill>
              <w14:schemeClr w14:val="tx1"/>
            </w14:solidFill>
          </w14:textFill>
        </w:rPr>
        <w:t>十二</w:t>
      </w:r>
      <w:r>
        <w:rPr>
          <w:rFonts w:hint="eastAsia" w:ascii="宋体" w:hAnsi="宋体"/>
          <w:b/>
          <w:bCs/>
          <w:color w:val="000000" w:themeColor="text1"/>
          <w:sz w:val="24"/>
          <w:szCs w:val="24"/>
          <w:lang w:val="zh-CN" w:eastAsia="zh-CN"/>
          <w14:textFill>
            <w14:solidFill>
              <w14:schemeClr w14:val="tx1"/>
            </w14:solidFill>
          </w14:textFill>
        </w:rPr>
        <w:t>、国有资产占用情况说明</w:t>
      </w:r>
    </w:p>
    <w:p w14:paraId="4F9551B3">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截至2023年12月31日,本部门共有车辆4辆,其中,副部(省)级及以上领导用车0辆、主要领导干部用车0辆、机要通信用车0辆、应急保障用车1辆、执法执勤用车0辆,特种专业技术用车0辆,离退休干部用车0辆,其他用车3辆,其他用车主要是用于垃圾清理等工作(由部门根据实际情况补充原因)。单价100万元(含)以上设备0台(套)。</w:t>
      </w:r>
    </w:p>
    <w:p w14:paraId="5A460F32">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十三、其他需要说明的情况</w:t>
      </w:r>
    </w:p>
    <w:p w14:paraId="5DC0B58B">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由于决算公开表格中金额数值应当保留两位小数，公开数据为四舍五入计算结果，个别数据合计项与分项之和存在小数点后差额，特此说明。</w:t>
      </w:r>
    </w:p>
    <w:p w14:paraId="2920ABB2">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p>
    <w:p w14:paraId="20113D40">
      <w:p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p>
    <w:p w14:paraId="50F4DE5F">
      <w:pPr>
        <w:spacing w:before="100" w:beforeLines="0" w:after="100" w:afterLines="0"/>
        <w:jc w:val="center"/>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第四部分</w:t>
      </w:r>
      <w:r>
        <w:rPr>
          <w:rFonts w:hint="eastAsia" w:ascii="宋体" w:hAnsi="宋体"/>
          <w:b/>
          <w:bCs/>
          <w:color w:val="000000" w:themeColor="text1"/>
          <w:sz w:val="24"/>
          <w:szCs w:val="24"/>
          <w:lang w:val="en-US" w:eastAsia="zh-CN"/>
          <w14:textFill>
            <w14:solidFill>
              <w14:schemeClr w14:val="tx1"/>
            </w14:solidFill>
          </w14:textFill>
        </w:rPr>
        <w:t xml:space="preserve">  </w:t>
      </w:r>
      <w:r>
        <w:rPr>
          <w:rFonts w:hint="eastAsia" w:ascii="宋体" w:hAnsi="宋体"/>
          <w:b/>
          <w:bCs/>
          <w:color w:val="000000" w:themeColor="text1"/>
          <w:sz w:val="24"/>
          <w:szCs w:val="24"/>
          <w:lang w:val="zh-CN" w:eastAsia="zh-CN"/>
          <w14:textFill>
            <w14:solidFill>
              <w14:schemeClr w14:val="tx1"/>
            </w14:solidFill>
          </w14:textFill>
        </w:rPr>
        <w:t>预算绩效情况说明</w:t>
      </w:r>
    </w:p>
    <w:p w14:paraId="7BB34518">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一、预算绩效管理工作开展情况</w:t>
      </w:r>
    </w:p>
    <w:p w14:paraId="68CB1995">
      <w:pPr>
        <w:widowControl/>
        <w:adjustRightInd w:val="0"/>
        <w:snapToGrid w:val="0"/>
        <w:spacing w:line="640" w:lineRule="exact"/>
        <w:ind w:firstLine="640" w:firstLineChars="200"/>
        <w:contextualSpacing/>
        <w:jc w:val="left"/>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2023年度，组织开展绩效自评项目共</w:t>
      </w:r>
      <w:r>
        <w:rPr>
          <w:rFonts w:hint="eastAsia" w:ascii="仿宋_GB2312" w:hAnsi="仿宋" w:eastAsia="仿宋_GB2312"/>
          <w:color w:val="000000" w:themeColor="text1"/>
          <w:sz w:val="32"/>
          <w:szCs w:val="32"/>
          <w:lang w:val="en-US" w:eastAsia="zh-CN"/>
          <w14:textFill>
            <w14:solidFill>
              <w14:schemeClr w14:val="tx1"/>
            </w14:solidFill>
          </w14:textFill>
        </w:rPr>
        <w:t>2</w:t>
      </w:r>
      <w:r>
        <w:rPr>
          <w:rFonts w:hint="eastAsia" w:ascii="仿宋_GB2312" w:hAnsi="仿宋" w:eastAsia="仿宋_GB2312"/>
          <w:color w:val="000000" w:themeColor="text1"/>
          <w:sz w:val="32"/>
          <w:szCs w:val="32"/>
          <w14:textFill>
            <w14:solidFill>
              <w14:schemeClr w14:val="tx1"/>
            </w14:solidFill>
          </w14:textFill>
        </w:rPr>
        <w:t>个，其中，部门（单位）整体支出</w:t>
      </w:r>
      <w:r>
        <w:rPr>
          <w:rFonts w:hint="eastAsia" w:ascii="仿宋_GB2312" w:hAnsi="仿宋" w:eastAsia="仿宋_GB2312"/>
          <w:color w:val="000000" w:themeColor="text1"/>
          <w:sz w:val="32"/>
          <w:szCs w:val="32"/>
          <w:lang w:val="en-US" w:eastAsia="zh-CN"/>
          <w14:textFill>
            <w14:solidFill>
              <w14:schemeClr w14:val="tx1"/>
            </w14:solidFill>
          </w14:textFill>
        </w:rPr>
        <w:t>2</w:t>
      </w:r>
      <w:r>
        <w:rPr>
          <w:rFonts w:hint="eastAsia" w:ascii="仿宋_GB2312" w:hAnsi="仿宋" w:eastAsia="仿宋_GB2312"/>
          <w:color w:val="000000" w:themeColor="text1"/>
          <w:sz w:val="32"/>
          <w:szCs w:val="32"/>
          <w14:textFill>
            <w14:solidFill>
              <w14:schemeClr w14:val="tx1"/>
            </w14:solidFill>
          </w14:textFill>
        </w:rPr>
        <w:t>个</w:t>
      </w:r>
      <w:r>
        <w:rPr>
          <w:rFonts w:hint="eastAsia" w:ascii="仿宋_GB2312" w:hAnsi="仿宋" w:eastAsia="仿宋_GB2312"/>
          <w:color w:val="000000" w:themeColor="text1"/>
          <w:sz w:val="32"/>
          <w:szCs w:val="32"/>
          <w:lang w:eastAsia="zh-CN"/>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绩效自评覆盖率为</w:t>
      </w:r>
      <w:r>
        <w:rPr>
          <w:rFonts w:hint="eastAsia" w:ascii="仿宋_GB2312" w:hAnsi="仿宋" w:eastAsia="仿宋_GB2312"/>
          <w:color w:val="000000" w:themeColor="text1"/>
          <w:sz w:val="32"/>
          <w:szCs w:val="32"/>
          <w:lang w:val="en-US" w:eastAsia="zh-CN"/>
          <w14:textFill>
            <w14:solidFill>
              <w14:schemeClr w14:val="tx1"/>
            </w14:solidFill>
          </w14:textFill>
        </w:rPr>
        <w:t>100</w:t>
      </w:r>
      <w:r>
        <w:rPr>
          <w:rFonts w:hint="eastAsia" w:ascii="仿宋_GB2312" w:hAnsi="仿宋" w:eastAsia="仿宋_GB2312"/>
          <w:color w:val="000000" w:themeColor="text1"/>
          <w:sz w:val="32"/>
          <w:szCs w:val="32"/>
          <w14:textFill>
            <w14:solidFill>
              <w14:schemeClr w14:val="tx1"/>
            </w14:solidFill>
          </w14:textFill>
        </w:rPr>
        <w:t>%。绩效自评结果随部门决算报送财政和随决算公开情况：将相关项目全部纳入绩效目标管理，执行过程按款项支出进度进行了监控并上报财政绩效管理部门，年终完整实现了年初制定的绩效目标，绩效目标执行良好。</w:t>
      </w:r>
      <w:r>
        <w:rPr>
          <w:rFonts w:hint="eastAsia" w:ascii="仿宋_GB2312" w:hAnsi="仿宋" w:eastAsia="仿宋_GB2312"/>
          <w:color w:val="000000" w:themeColor="text1"/>
          <w:sz w:val="32"/>
          <w:szCs w:val="32"/>
          <w:lang w:val="en-US" w:eastAsia="zh-CN"/>
          <w14:textFill>
            <w14:solidFill>
              <w14:schemeClr w14:val="tx1"/>
            </w14:solidFill>
          </w14:textFill>
        </w:rPr>
        <w:t>并完成了决算公开。</w:t>
      </w:r>
    </w:p>
    <w:p w14:paraId="07C6F50C">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二、绩效自评结果</w:t>
      </w:r>
    </w:p>
    <w:p w14:paraId="50F78C46">
      <w:pPr>
        <w:widowControl/>
        <w:adjustRightInd w:val="0"/>
        <w:snapToGrid w:val="0"/>
        <w:spacing w:line="640" w:lineRule="exact"/>
        <w:ind w:firstLine="640" w:firstLineChars="200"/>
        <w:contextualSpacing/>
        <w:jc w:val="left"/>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根据2023年度绩效运行监控、绩效自评等情况，当年盘活财政资金11012427.15万元，2024年度增加部门预算项目</w:t>
      </w:r>
      <w:r>
        <w:rPr>
          <w:rFonts w:hint="eastAsia" w:ascii="仿宋_GB2312" w:hAnsi="仿宋" w:eastAsia="仿宋_GB2312"/>
          <w:color w:val="000000" w:themeColor="text1"/>
          <w:sz w:val="32"/>
          <w:szCs w:val="32"/>
          <w:lang w:val="en-US" w:eastAsia="zh-CN"/>
          <w14:textFill>
            <w14:solidFill>
              <w14:schemeClr w14:val="tx1"/>
            </w14:solidFill>
          </w14:textFill>
        </w:rPr>
        <w:t>0</w:t>
      </w:r>
      <w:r>
        <w:rPr>
          <w:rFonts w:hint="eastAsia" w:ascii="仿宋_GB2312" w:hAnsi="仿宋" w:eastAsia="仿宋_GB2312"/>
          <w:color w:val="000000" w:themeColor="text1"/>
          <w:sz w:val="32"/>
          <w:szCs w:val="32"/>
          <w14:textFill>
            <w14:solidFill>
              <w14:schemeClr w14:val="tx1"/>
            </w14:solidFill>
          </w14:textFill>
        </w:rPr>
        <w:t>个，增长率</w:t>
      </w:r>
      <w:r>
        <w:rPr>
          <w:rFonts w:hint="eastAsia" w:ascii="仿宋_GB2312" w:hAnsi="仿宋" w:eastAsia="仿宋_GB2312"/>
          <w:color w:val="000000" w:themeColor="text1"/>
          <w:sz w:val="32"/>
          <w:szCs w:val="32"/>
          <w:lang w:val="en-US" w:eastAsia="zh-CN"/>
          <w14:textFill>
            <w14:solidFill>
              <w14:schemeClr w14:val="tx1"/>
            </w14:solidFill>
          </w14:textFill>
        </w:rPr>
        <w:t>0</w:t>
      </w:r>
      <w:r>
        <w:rPr>
          <w:rFonts w:hint="eastAsia" w:ascii="仿宋_GB2312" w:hAnsi="仿宋" w:eastAsia="仿宋_GB2312"/>
          <w:color w:val="000000" w:themeColor="text1"/>
          <w:sz w:val="32"/>
          <w:szCs w:val="32"/>
          <w14:textFill>
            <w14:solidFill>
              <w14:schemeClr w14:val="tx1"/>
            </w14:solidFill>
          </w14:textFill>
        </w:rPr>
        <w:t xml:space="preserve"> %。同时对政策和项目资金管理作出调整的</w:t>
      </w:r>
      <w:r>
        <w:rPr>
          <w:rFonts w:hint="eastAsia" w:ascii="仿宋_GB2312" w:hAnsi="仿宋" w:eastAsia="仿宋_GB2312"/>
          <w:color w:val="000000" w:themeColor="text1"/>
          <w:sz w:val="32"/>
          <w:szCs w:val="32"/>
          <w:lang w:val="en-US" w:eastAsia="zh-CN"/>
          <w14:textFill>
            <w14:solidFill>
              <w14:schemeClr w14:val="tx1"/>
            </w14:solidFill>
          </w14:textFill>
        </w:rPr>
        <w:t>0</w:t>
      </w:r>
      <w:r>
        <w:rPr>
          <w:rFonts w:hint="eastAsia" w:ascii="仿宋_GB2312" w:hAnsi="仿宋" w:eastAsia="仿宋_GB2312"/>
          <w:color w:val="000000" w:themeColor="text1"/>
          <w:sz w:val="32"/>
          <w:szCs w:val="32"/>
          <w14:textFill>
            <w14:solidFill>
              <w14:schemeClr w14:val="tx1"/>
            </w14:solidFill>
          </w14:textFill>
        </w:rPr>
        <w:t>个。</w:t>
      </w:r>
    </w:p>
    <w:p w14:paraId="472829C4">
      <w:pPr>
        <w:numPr>
          <w:ilvl w:val="0"/>
          <w:numId w:val="4"/>
        </w:num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部门绩效评价结果</w:t>
      </w:r>
    </w:p>
    <w:p w14:paraId="1B308417">
      <w:pPr>
        <w:numPr>
          <w:ilvl w:val="0"/>
          <w:numId w:val="4"/>
        </w:num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本单位未开展预算绩效管理。</w:t>
      </w:r>
    </w:p>
    <w:p w14:paraId="6575CF6B">
      <w:pPr>
        <w:spacing w:before="100" w:beforeLines="0" w:after="100" w:afterLines="0"/>
        <w:jc w:val="left"/>
        <w:rPr>
          <w:rFonts w:hint="eastAsia" w:ascii="宋体" w:hAnsi="宋体"/>
          <w:b/>
          <w:bCs/>
          <w:color w:val="000000" w:themeColor="text1"/>
          <w:sz w:val="24"/>
          <w:szCs w:val="24"/>
          <w:lang w:val="zh-CN" w:eastAsia="zh-CN"/>
          <w14:textFill>
            <w14:solidFill>
              <w14:schemeClr w14:val="tx1"/>
            </w14:solidFill>
          </w14:textFill>
        </w:rPr>
      </w:pPr>
    </w:p>
    <w:p w14:paraId="74B526C0">
      <w:pPr>
        <w:spacing w:before="100" w:beforeLines="0" w:after="100" w:afterLines="0"/>
        <w:jc w:val="center"/>
        <w:rPr>
          <w:rFonts w:hint="eastAsia" w:ascii="宋体" w:hAnsi="宋体"/>
          <w:b/>
          <w:bCs/>
          <w:color w:val="000000" w:themeColor="text1"/>
          <w:sz w:val="24"/>
          <w:szCs w:val="24"/>
          <w:lang w:val="zh-CN" w:eastAsia="zh-CN"/>
          <w14:textFill>
            <w14:solidFill>
              <w14:schemeClr w14:val="tx1"/>
            </w14:solidFill>
          </w14:textFill>
        </w:rPr>
      </w:pPr>
      <w:r>
        <w:rPr>
          <w:rFonts w:hint="eastAsia" w:ascii="宋体" w:hAnsi="宋体"/>
          <w:b/>
          <w:bCs/>
          <w:color w:val="000000" w:themeColor="text1"/>
          <w:sz w:val="24"/>
          <w:szCs w:val="24"/>
          <w:lang w:val="zh-CN" w:eastAsia="zh-CN"/>
          <w14:textFill>
            <w14:solidFill>
              <w14:schemeClr w14:val="tx1"/>
            </w14:solidFill>
          </w14:textFill>
        </w:rPr>
        <w:t>第五部分</w:t>
      </w:r>
      <w:r>
        <w:rPr>
          <w:rFonts w:hint="eastAsia" w:ascii="宋体" w:hAnsi="宋体"/>
          <w:b/>
          <w:bCs/>
          <w:color w:val="000000" w:themeColor="text1"/>
          <w:sz w:val="24"/>
          <w:szCs w:val="24"/>
          <w:lang w:val="en-US" w:eastAsia="zh-CN"/>
          <w14:textFill>
            <w14:solidFill>
              <w14:schemeClr w14:val="tx1"/>
            </w14:solidFill>
          </w14:textFill>
        </w:rPr>
        <w:t xml:space="preserve">  </w:t>
      </w:r>
      <w:r>
        <w:rPr>
          <w:rFonts w:hint="eastAsia" w:ascii="宋体" w:hAnsi="宋体"/>
          <w:b/>
          <w:bCs/>
          <w:color w:val="000000" w:themeColor="text1"/>
          <w:sz w:val="24"/>
          <w:szCs w:val="24"/>
          <w:lang w:val="zh-CN" w:eastAsia="zh-CN"/>
          <w14:textFill>
            <w14:solidFill>
              <w14:schemeClr w14:val="tx1"/>
            </w14:solidFill>
          </w14:textFill>
        </w:rPr>
        <w:t>名词解释</w:t>
      </w:r>
    </w:p>
    <w:p w14:paraId="1DCF0A41">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以下为常见专业名词解释目录,仅供参考,部门应根据实际情况进行解释和增减。比如可将类级功能科目和经济科目细化解释到项级。若有删减注意调整段落序号。</w:t>
      </w:r>
    </w:p>
    <w:p w14:paraId="1FB7EFA1">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一、财政拨款收入</w:t>
      </w:r>
      <w:r>
        <w:rPr>
          <w:rFonts w:hint="eastAsia" w:ascii="宋体" w:hAnsi="宋体" w:eastAsia="宋体" w:cs="宋体"/>
          <w:color w:val="000000" w:themeColor="text1"/>
          <w:sz w:val="24"/>
          <w:szCs w:val="24"/>
          <w:lang w:val="zh-CN"/>
          <w14:textFill>
            <w14:solidFill>
              <w14:schemeClr w14:val="tx1"/>
            </w14:solidFill>
          </w14:textFill>
        </w:rPr>
        <w:t>：指本年度从同级财政部门取得的财政拨款,包括一般公共预算财政拨款、政府性基金预算财政拨款和国有资本经营预算财政拨款。</w:t>
      </w:r>
    </w:p>
    <w:p w14:paraId="460237A4">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二、事业收入</w:t>
      </w:r>
      <w:r>
        <w:rPr>
          <w:rFonts w:hint="eastAsia" w:ascii="宋体" w:hAnsi="宋体" w:eastAsia="宋体" w:cs="宋体"/>
          <w:color w:val="000000" w:themeColor="text1"/>
          <w:sz w:val="24"/>
          <w:szCs w:val="24"/>
          <w:lang w:val="zh-CN"/>
          <w14:textFill>
            <w14:solidFill>
              <w14:schemeClr w14:val="tx1"/>
            </w14:solidFill>
          </w14:textFill>
        </w:rPr>
        <w:t>：指事业单位开展专业业务活动及其辅助活动取得的收入。</w:t>
      </w:r>
    </w:p>
    <w:p w14:paraId="2E62814F">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三、经营收入</w:t>
      </w:r>
      <w:r>
        <w:rPr>
          <w:rFonts w:hint="eastAsia" w:ascii="宋体" w:hAnsi="宋体" w:eastAsia="宋体" w:cs="宋体"/>
          <w:color w:val="000000" w:themeColor="text1"/>
          <w:sz w:val="24"/>
          <w:szCs w:val="24"/>
          <w:lang w:val="zh-CN"/>
          <w14:textFill>
            <w14:solidFill>
              <w14:schemeClr w14:val="tx1"/>
            </w14:solidFill>
          </w14:textFill>
        </w:rPr>
        <w:t>：指事业单位在专业业务活动及其辅助活动之外开展非独立核算经营活动取得的收入。</w:t>
      </w:r>
    </w:p>
    <w:p w14:paraId="025C3B32">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四、其他收入</w:t>
      </w:r>
      <w:r>
        <w:rPr>
          <w:rFonts w:hint="eastAsia" w:ascii="宋体" w:hAnsi="宋体" w:eastAsia="宋体" w:cs="宋体"/>
          <w:color w:val="000000" w:themeColor="text1"/>
          <w:sz w:val="24"/>
          <w:szCs w:val="24"/>
          <w:lang w:val="zh-CN"/>
          <w14:textFill>
            <w14:solidFill>
              <w14:schemeClr w14:val="tx1"/>
            </w14:solidFill>
          </w14:textFill>
        </w:rPr>
        <w:t>：指除上述“财政拨款收入”“事业收入”、“经营收入”以外的收入。</w:t>
      </w:r>
    </w:p>
    <w:p w14:paraId="52490F9C">
      <w:pPr>
        <w:spacing w:before="100" w:beforeLines="0" w:after="100" w:afterLines="0"/>
        <w:jc w:val="both"/>
        <w:rPr>
          <w:rFonts w:hint="eastAsia" w:ascii="宋体" w:hAnsi="宋体" w:eastAsia="宋体" w:cs="宋体"/>
          <w:b w:val="0"/>
          <w:bCs w:val="0"/>
          <w:color w:val="000000" w:themeColor="text1"/>
          <w:sz w:val="24"/>
          <w:szCs w:val="24"/>
          <w:lang w:val="zh-CN"/>
          <w14:textFill>
            <w14:solidFill>
              <w14:schemeClr w14:val="tx1"/>
            </w14:solidFill>
          </w14:textFill>
        </w:rPr>
      </w:pPr>
      <w:r>
        <w:rPr>
          <w:rFonts w:hint="eastAsia" w:ascii="宋体" w:hAnsi="宋体" w:eastAsia="宋体" w:cs="宋体"/>
          <w:b/>
          <w:bCs/>
          <w:color w:val="000000" w:themeColor="text1"/>
          <w:sz w:val="24"/>
          <w:szCs w:val="24"/>
          <w:lang w:val="zh-CN"/>
          <w14:textFill>
            <w14:solidFill>
              <w14:schemeClr w14:val="tx1"/>
            </w14:solidFill>
          </w14:textFill>
        </w:rPr>
        <w:t>五、使用非财政拨款结余（含专用结余）：</w:t>
      </w:r>
      <w:r>
        <w:rPr>
          <w:rFonts w:hint="eastAsia" w:ascii="宋体" w:hAnsi="宋体" w:eastAsia="宋体" w:cs="宋体"/>
          <w:b w:val="0"/>
          <w:bCs w:val="0"/>
          <w:color w:val="000000" w:themeColor="text1"/>
          <w:sz w:val="24"/>
          <w:szCs w:val="24"/>
          <w:lang w:val="zh-CN"/>
          <w14:textFill>
            <w14:solidFill>
              <w14:schemeClr w14:val="tx1"/>
            </w14:solidFill>
          </w14:textFill>
        </w:rPr>
        <w:t>指事业单位按照预算管理要求使用非财政拨款结余弥补收支差额的金额，以及使用专用结余安排支出的金额。</w:t>
      </w:r>
    </w:p>
    <w:p w14:paraId="4456593C">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六、年初结转和结余</w:t>
      </w:r>
      <w:r>
        <w:rPr>
          <w:rFonts w:hint="eastAsia" w:ascii="宋体" w:hAnsi="宋体" w:eastAsia="宋体" w:cs="宋体"/>
          <w:color w:val="000000" w:themeColor="text1"/>
          <w:sz w:val="24"/>
          <w:szCs w:val="24"/>
          <w:lang w:val="zh-CN"/>
          <w14:textFill>
            <w14:solidFill>
              <w14:schemeClr w14:val="tx1"/>
            </w14:solidFill>
          </w14:textFill>
        </w:rPr>
        <w:t>：指单位上年结转至本年使用的基本支出结转、项目支出结转和结余、经营结余。</w:t>
      </w:r>
    </w:p>
    <w:p w14:paraId="6C16AB9D">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七、结余分配</w:t>
      </w:r>
      <w:r>
        <w:rPr>
          <w:rFonts w:hint="eastAsia" w:ascii="宋体" w:hAnsi="宋体" w:eastAsia="宋体" w:cs="宋体"/>
          <w:color w:val="000000" w:themeColor="text1"/>
          <w:sz w:val="24"/>
          <w:szCs w:val="24"/>
          <w:lang w:val="zh-CN"/>
          <w14:textFill>
            <w14:solidFill>
              <w14:schemeClr w14:val="tx1"/>
            </w14:solidFill>
          </w14:textFill>
        </w:rPr>
        <w:t>：指单位按照会计制度规定缴纳的所得税、提取的专用结余以及转入非财政拨款结余的金额等。</w:t>
      </w:r>
    </w:p>
    <w:p w14:paraId="6C2C19BD">
      <w:pPr>
        <w:spacing w:before="100" w:beforeLines="0" w:after="100" w:afterLines="0"/>
        <w:jc w:val="both"/>
        <w:rPr>
          <w:rFonts w:hint="eastAsia"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b/>
          <w:color w:val="000000" w:themeColor="text1"/>
          <w:sz w:val="24"/>
          <w:szCs w:val="24"/>
          <w:lang w:val="zh-CN"/>
          <w14:textFill>
            <w14:solidFill>
              <w14:schemeClr w14:val="tx1"/>
            </w14:solidFill>
          </w14:textFill>
        </w:rPr>
        <w:t>八、年末结转和结余</w:t>
      </w:r>
      <w:r>
        <w:rPr>
          <w:rFonts w:hint="eastAsia" w:ascii="宋体" w:hAnsi="宋体" w:eastAsia="宋体" w:cs="宋体"/>
          <w:color w:val="000000" w:themeColor="text1"/>
          <w:sz w:val="24"/>
          <w:szCs w:val="24"/>
          <w:lang w:val="zh-CN"/>
          <w14:textFill>
            <w14:solidFill>
              <w14:schemeClr w14:val="tx1"/>
            </w14:solidFill>
          </w14:textFill>
        </w:rPr>
        <w:t>：指单位按有关规定结转到下年的基本支出结转、项目支出结转和结余、经营结余。</w:t>
      </w:r>
    </w:p>
    <w:p w14:paraId="0EAFCC5C">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14:paraId="5836CA0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14:paraId="02E5410B">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14:paraId="417E89A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3B77AD4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2E425A8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14:paraId="009FAA7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14:paraId="420271FA">
      <w:pPr>
        <w:spacing w:before="100" w:beforeLines="0" w:after="100" w:afterLines="0"/>
        <w:ind w:firstLine="480" w:firstLineChars="20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w:t>
      </w:r>
    </w:p>
    <w:p w14:paraId="7E918B4E">
      <w:pPr>
        <w:spacing w:before="100" w:beforeLines="0" w:after="100" w:afterLines="0"/>
        <w:jc w:val="both"/>
        <w:rPr>
          <w:rFonts w:hint="eastAsia" w:ascii="宋体" w:hAnsi="宋体" w:eastAsia="宋体" w:cs="宋体"/>
          <w:color w:val="FF0000"/>
          <w:sz w:val="24"/>
          <w:szCs w:val="24"/>
          <w:lang w:val="zh-CN"/>
        </w:rPr>
      </w:pPr>
      <w:r>
        <w:rPr>
          <w:rFonts w:hint="eastAsia" w:ascii="宋体" w:hAnsi="宋体" w:eastAsia="宋体" w:cs="宋体"/>
          <w:color w:val="FF0000"/>
          <w:sz w:val="24"/>
          <w:szCs w:val="24"/>
          <w:lang w:val="zh-CN"/>
        </w:rPr>
        <w:t>（请部门（单位）对涉及到专业名词进行补充解释，注意不要重复，并调整段落序号）</w:t>
      </w:r>
    </w:p>
    <w:p w14:paraId="7D68016C">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7010C"/>
    <w:multiLevelType w:val="singleLevel"/>
    <w:tmpl w:val="9707010C"/>
    <w:lvl w:ilvl="0" w:tentative="0">
      <w:start w:val="2"/>
      <w:numFmt w:val="decimal"/>
      <w:lvlText w:val="%1."/>
      <w:lvlJc w:val="left"/>
      <w:pPr>
        <w:tabs>
          <w:tab w:val="left" w:pos="312"/>
        </w:tabs>
      </w:pPr>
    </w:lvl>
  </w:abstractNum>
  <w:abstractNum w:abstractNumId="1">
    <w:nsid w:val="CF092B84"/>
    <w:multiLevelType w:val="singleLevel"/>
    <w:tmpl w:val="CF092B84"/>
    <w:lvl w:ilvl="0" w:tentative="0">
      <w:start w:val="2"/>
      <w:numFmt w:val="chineseCounting"/>
      <w:lvlText w:val="(%1)"/>
      <w:lvlJc w:val="left"/>
      <w:pPr>
        <w:tabs>
          <w:tab w:val="left" w:pos="312"/>
        </w:tabs>
      </w:pPr>
      <w:rPr>
        <w:rFonts w:hint="eastAsia"/>
      </w:rPr>
    </w:lvl>
  </w:abstractNum>
  <w:abstractNum w:abstractNumId="2">
    <w:nsid w:val="0053208E"/>
    <w:multiLevelType w:val="singleLevel"/>
    <w:tmpl w:val="0053208E"/>
    <w:lvl w:ilvl="0" w:tentative="0">
      <w:start w:val="2"/>
      <w:numFmt w:val="chineseCounting"/>
      <w:suff w:val="nothing"/>
      <w:lvlText w:val="（%1）"/>
      <w:lvlJc w:val="left"/>
      <w:rPr>
        <w:rFonts w:hint="eastAsia"/>
      </w:rPr>
    </w:lvl>
  </w:abstractNum>
  <w:abstractNum w:abstractNumId="3">
    <w:nsid w:val="1FECE1C8"/>
    <w:multiLevelType w:val="singleLevel"/>
    <w:tmpl w:val="1FECE1C8"/>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OGNiN2ZhN2MyNTM3ZWY5NGY1MTIxODM5ZTgxNzAifQ=="/>
  </w:docVars>
  <w:rsids>
    <w:rsidRoot w:val="00000000"/>
    <w:rsid w:val="1B2770D9"/>
    <w:rsid w:val="4EE117D8"/>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9.xml"/><Relationship Id="rId25" Type="http://schemas.openxmlformats.org/officeDocument/2006/relationships/customXml" Target="../customXml/item8.xml"/><Relationship Id="rId24" Type="http://schemas.openxmlformats.org/officeDocument/2006/relationships/customXml" Target="../customXml/item7.xml"/><Relationship Id="rId23" Type="http://schemas.openxmlformats.org/officeDocument/2006/relationships/customXml" Target="../customXml/item6.xml"/><Relationship Id="rId22" Type="http://schemas.openxmlformats.org/officeDocument/2006/relationships/customXml" Target="../customXml/item5.xml"/><Relationship Id="rId21" Type="http://schemas.openxmlformats.org/officeDocument/2006/relationships/customXml" Target="../customXml/item4.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2.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5.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8.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9.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Props1.xml><?xml version="1.0" encoding="utf-8"?>
<ds:datastoreItem xmlns:ds="http://schemas.openxmlformats.org/officeDocument/2006/customXml" ds:itemID="{685c9cbe-548e-4619-9d0c-41d984b0252a}">
  <ds:schemaRefs/>
</ds:datastoreItem>
</file>

<file path=customXml/itemProps2.xml><?xml version="1.0" encoding="utf-8"?>
<ds:datastoreItem xmlns:ds="http://schemas.openxmlformats.org/officeDocument/2006/customXml" ds:itemID="{c7eab923-3c37-4bfa-bd74-9142c5db9eea}">
  <ds:schemaRefs/>
</ds:datastoreItem>
</file>

<file path=customXml/itemProps3.xml><?xml version="1.0" encoding="utf-8"?>
<ds:datastoreItem xmlns:ds="http://schemas.openxmlformats.org/officeDocument/2006/customXml" ds:itemID="{04a7f831-ea0f-406a-9400-0e8aa97bb8d7}">
  <ds:schemaRefs/>
</ds:datastoreItem>
</file>

<file path=customXml/itemProps4.xml><?xml version="1.0" encoding="utf-8"?>
<ds:datastoreItem xmlns:ds="http://schemas.openxmlformats.org/officeDocument/2006/customXml" ds:itemID="{3b59d669-e45a-4b2b-997a-3e4655c33331}">
  <ds:schemaRefs/>
</ds:datastoreItem>
</file>

<file path=customXml/itemProps5.xml><?xml version="1.0" encoding="utf-8"?>
<ds:datastoreItem xmlns:ds="http://schemas.openxmlformats.org/officeDocument/2006/customXml" ds:itemID="{e362b178-926c-4850-99bc-c0c38946ad40}">
  <ds:schemaRefs/>
</ds:datastoreItem>
</file>

<file path=customXml/itemProps6.xml><?xml version="1.0" encoding="utf-8"?>
<ds:datastoreItem xmlns:ds="http://schemas.openxmlformats.org/officeDocument/2006/customXml" ds:itemID="{71dd04c8-7e64-4962-94b2-0613f373966d}">
  <ds:schemaRefs/>
</ds:datastoreItem>
</file>

<file path=customXml/itemProps7.xml><?xml version="1.0" encoding="utf-8"?>
<ds:datastoreItem xmlns:ds="http://schemas.openxmlformats.org/officeDocument/2006/customXml" ds:itemID="{9237d2e7-1762-4e9f-a201-3d010812e68c}">
  <ds:schemaRefs/>
</ds:datastoreItem>
</file>

<file path=customXml/itemProps8.xml><?xml version="1.0" encoding="utf-8"?>
<ds:datastoreItem xmlns:ds="http://schemas.openxmlformats.org/officeDocument/2006/customXml" ds:itemID="{d4aea78b-ea8c-497d-8004-a4891942b9b6}">
  <ds:schemaRefs/>
</ds:datastoreItem>
</file>

<file path=customXml/itemProps9.xml><?xml version="1.0" encoding="utf-8"?>
<ds:datastoreItem xmlns:ds="http://schemas.openxmlformats.org/officeDocument/2006/customXml" ds:itemID="{0d891501-b396-4374-b3fa-c0095a181d5e}">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7481</Words>
  <Characters>8235</Characters>
  <Lines>0</Lines>
  <Paragraphs>0</Paragraphs>
  <TotalTime>4</TotalTime>
  <ScaleCrop>false</ScaleCrop>
  <LinksUpToDate>false</LinksUpToDate>
  <CharactersWithSpaces>8243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Administrator</cp:lastModifiedBy>
  <dcterms:modified xsi:type="dcterms:W3CDTF">2024-09-06T07:16:28Z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147958DB6BC541FC8F59B07D207EDFD7_13</vt:lpwstr>
  </property>
</Properties>
</file>