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东乡族自治县退役军人事务局部门决算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line="240" w:lineRule="auto"/>
        <w:jc w:val="left"/>
        <w:rPr>
          <w:rFonts w:hint="eastAsia" w:ascii="宋体" w:hAnsi="宋体"/>
          <w:color w:val="auto"/>
          <w:sz w:val="24"/>
          <w:szCs w:val="24"/>
          <w:lang w:val="zh-CN"/>
        </w:rPr>
      </w:pPr>
      <w:r>
        <w:rPr>
          <w:rFonts w:hint="eastAsia" w:ascii="宋体" w:hAnsi="宋体"/>
          <w:color w:val="auto"/>
          <w:sz w:val="24"/>
          <w:szCs w:val="24"/>
          <w:lang w:val="zh-CN"/>
        </w:rPr>
        <w:t>一、部门职责</w:t>
      </w:r>
    </w:p>
    <w:p>
      <w:pPr>
        <w:spacing w:before="100" w:beforeLines="0" w:after="100" w:afterLines="0" w:line="240" w:lineRule="auto"/>
        <w:jc w:val="left"/>
        <w:rPr>
          <w:rFonts w:hint="eastAsia" w:ascii="宋体" w:hAnsi="宋体"/>
          <w:color w:val="auto"/>
          <w:sz w:val="24"/>
          <w:szCs w:val="24"/>
          <w:lang w:val="zh-CN"/>
        </w:rPr>
      </w:pPr>
      <w:r>
        <w:rPr>
          <w:rFonts w:hint="eastAsia" w:ascii="宋体" w:hAnsi="宋体"/>
          <w:color w:val="auto"/>
          <w:sz w:val="24"/>
          <w:szCs w:val="24"/>
          <w:lang w:val="zh-CN"/>
        </w:rPr>
        <w:t>1、加强退役军人思想政治工作和服务保障体系建设。</w:t>
      </w:r>
    </w:p>
    <w:p>
      <w:pPr>
        <w:spacing w:before="100" w:beforeLines="0" w:after="100" w:afterLines="0" w:line="240" w:lineRule="auto"/>
        <w:jc w:val="left"/>
        <w:rPr>
          <w:rFonts w:hint="eastAsia" w:ascii="宋体" w:hAnsi="宋体"/>
          <w:color w:val="auto"/>
          <w:sz w:val="24"/>
          <w:szCs w:val="24"/>
          <w:lang w:val="zh-CN"/>
        </w:rPr>
      </w:pPr>
      <w:r>
        <w:rPr>
          <w:rFonts w:hint="eastAsia" w:ascii="宋体" w:hAnsi="宋体"/>
          <w:color w:val="auto"/>
          <w:sz w:val="24"/>
          <w:szCs w:val="24"/>
          <w:lang w:val="zh-CN"/>
        </w:rPr>
        <w:t>2、建立健全集中统一、职责清晰的退役军人管理保障体系。</w:t>
      </w:r>
    </w:p>
    <w:p>
      <w:pPr>
        <w:spacing w:before="100" w:beforeLines="0" w:after="100" w:afterLines="0" w:line="240" w:lineRule="auto"/>
        <w:jc w:val="left"/>
        <w:rPr>
          <w:rFonts w:hint="eastAsia" w:ascii="宋体" w:hAnsi="宋体"/>
          <w:color w:val="auto"/>
          <w:sz w:val="24"/>
          <w:szCs w:val="24"/>
          <w:lang w:val="zh-CN"/>
        </w:rPr>
      </w:pPr>
      <w:r>
        <w:rPr>
          <w:rFonts w:hint="eastAsia" w:ascii="宋体" w:hAnsi="宋体"/>
          <w:color w:val="auto"/>
          <w:sz w:val="24"/>
          <w:szCs w:val="24"/>
          <w:lang w:val="zh-CN"/>
        </w:rPr>
        <w:t>3、协调各方面力量更好的为军人军属服务、维护军人军属合法权益。</w:t>
      </w:r>
    </w:p>
    <w:p>
      <w:pPr>
        <w:spacing w:before="100" w:beforeLines="0" w:after="100" w:afterLines="0" w:line="240" w:lineRule="auto"/>
        <w:jc w:val="left"/>
        <w:rPr>
          <w:rFonts w:hint="eastAsia" w:ascii="宋体" w:hAnsi="宋体"/>
          <w:color w:val="auto"/>
          <w:sz w:val="24"/>
          <w:szCs w:val="24"/>
          <w:lang w:val="zh-CN"/>
        </w:rPr>
      </w:pPr>
      <w:r>
        <w:rPr>
          <w:rFonts w:hint="eastAsia" w:ascii="宋体" w:hAnsi="宋体"/>
          <w:color w:val="auto"/>
          <w:sz w:val="24"/>
          <w:szCs w:val="24"/>
          <w:lang w:val="zh-CN"/>
        </w:rPr>
        <w:t>4、宣传党的各项政策，进一步为深化党政机构改革工作服务。</w:t>
      </w:r>
    </w:p>
    <w:p>
      <w:pPr>
        <w:spacing w:before="100" w:beforeLines="0" w:after="100" w:afterLines="0" w:line="240" w:lineRule="auto"/>
        <w:jc w:val="left"/>
        <w:rPr>
          <w:rFonts w:hint="eastAsia" w:ascii="宋体" w:hAnsi="宋体"/>
          <w:color w:val="auto"/>
          <w:sz w:val="24"/>
          <w:szCs w:val="24"/>
          <w:lang w:val="zh-CN"/>
        </w:rPr>
      </w:pPr>
      <w:r>
        <w:rPr>
          <w:rFonts w:hint="eastAsia" w:ascii="宋体" w:hAnsi="宋体"/>
          <w:color w:val="auto"/>
          <w:sz w:val="24"/>
          <w:szCs w:val="24"/>
          <w:lang w:val="zh-CN"/>
        </w:rPr>
        <w:t>5、承担上级交办的有关退役军人工作的其他事宜。</w:t>
      </w:r>
    </w:p>
    <w:p>
      <w:pPr>
        <w:spacing w:before="100" w:beforeLines="0" w:after="100" w:afterLines="0" w:line="240" w:lineRule="auto"/>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line="240" w:lineRule="auto"/>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根据中共东乡县委办公室、中共东乡县人民政府【关于印发《东乡族自治县退役军人事务局职能配置、内设机构和人员编制规定》的通知】县委办发（2019）80号文件精神，组建了东乡族自治县退役军人事务局，是县政府工作部门，为正科级，于2019年2月1日挂牌成立。</w:t>
      </w:r>
    </w:p>
    <w:p>
      <w:pPr>
        <w:spacing w:before="100" w:beforeLines="0" w:after="100" w:afterLines="0" w:line="240" w:lineRule="auto"/>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内设3个股室，分别为综合办公室，思想政治权益维护和褒扬纪念股，优抚安置就业创业股。局所属事业单位的设置、职责和编制事项另行规定。</w:t>
      </w:r>
    </w:p>
    <w:p>
      <w:pPr>
        <w:spacing w:before="100" w:beforeLines="0" w:after="100" w:afterLines="0" w:line="240" w:lineRule="auto"/>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1379.28万元。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增加83.07万元,增长6.41%,主要原因是</w:t>
      </w:r>
      <w:r>
        <w:rPr>
          <w:rFonts w:hint="eastAsia" w:ascii="宋体" w:hAnsi="宋体"/>
          <w:color w:val="auto"/>
          <w:sz w:val="24"/>
          <w:szCs w:val="24"/>
          <w:lang w:val="en-US" w:eastAsia="zh-CN"/>
        </w:rPr>
        <w:t>人员工资及优抚金增加。</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2023年度收入合计1379.28万元,其中：财政拨款收入1379.28万元,占100.00%。</w:t>
      </w: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2023年度支出合计1379.28万元,其中：基本支出582.85万元,占42.26%；项目支出796.43万元,占57.74%。</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1379.28万元。与</w:t>
      </w:r>
      <w:r>
        <w:rPr>
          <w:rFonts w:hint="eastAsia" w:ascii="宋体" w:hAnsi="宋体"/>
          <w:color w:val="auto"/>
          <w:sz w:val="24"/>
          <w:szCs w:val="24"/>
          <w:lang w:val="en-US"/>
        </w:rPr>
        <w:t>上</w:t>
      </w:r>
      <w:r>
        <w:rPr>
          <w:rFonts w:hint="eastAsia" w:ascii="宋体" w:hAnsi="宋体"/>
          <w:color w:val="auto"/>
          <w:sz w:val="24"/>
          <w:szCs w:val="24"/>
          <w:lang w:val="zh-CN"/>
        </w:rPr>
        <w:t>年相比,各增加83.07万元,增长6.41%。主要原因是人员工资及优抚金增加。</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2023年度一般公共预算财政拨款支出1379.28万元,较上年决算数增加83.07万元,增长6.41%。主要原因是人员工资及优抚金增加。</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一般公共预算财政拨款支出决算结构情况</w:t>
      </w:r>
    </w:p>
    <w:p>
      <w:pPr>
        <w:numPr>
          <w:ilvl w:val="0"/>
          <w:numId w:val="0"/>
        </w:numPr>
        <w:spacing w:before="100" w:beforeLines="0" w:after="100" w:afterLines="0"/>
        <w:jc w:val="left"/>
        <w:rPr>
          <w:rFonts w:hint="eastAsia" w:ascii="宋体" w:hAnsi="宋体" w:eastAsia="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1379.28万元，主要用于以下方面：社会保障和就业支出1288.51万元,占93.42%；卫生健康支出34.75万元,占2.52%；农林水支出13.90万元,占1.01%；住房保障支出42.12万元,占3.05%。</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733.82万元,支出决算为1379.28万元,完成年初预算的187.96%。其中：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年初预算数为7.12万元,支出决算为0.00万元,完成年初预算的0.0%,决算数小于预算数的主要原因是</w:t>
      </w:r>
      <w:r>
        <w:rPr>
          <w:rFonts w:hint="eastAsia" w:ascii="宋体" w:hAnsi="宋体"/>
          <w:color w:val="auto"/>
          <w:sz w:val="24"/>
          <w:szCs w:val="24"/>
          <w:lang w:val="en-US" w:eastAsia="zh-CN"/>
        </w:rPr>
        <w:t>支出功能分类变动</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年初预算数为652.07万元,支出决算为1288.51万元,完成年初预算的197.6%,决算数大于预算数的主要原因是</w:t>
      </w:r>
      <w:r>
        <w:rPr>
          <w:rFonts w:hint="eastAsia" w:ascii="宋体" w:hAnsi="宋体"/>
          <w:color w:val="auto"/>
          <w:sz w:val="24"/>
          <w:szCs w:val="24"/>
          <w:lang w:val="en-US" w:eastAsia="zh-CN"/>
        </w:rPr>
        <w:t>人员工资增加</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年初预算数为31.29万元,支出决算为34.75万元,完成年初预算的111.07%,决算数大于预算数的主要原因是</w:t>
      </w:r>
      <w:r>
        <w:rPr>
          <w:rFonts w:hint="eastAsia" w:ascii="宋体" w:hAnsi="宋体"/>
          <w:color w:val="auto"/>
          <w:sz w:val="24"/>
          <w:szCs w:val="24"/>
          <w:lang w:val="en-US" w:eastAsia="zh-CN"/>
        </w:rPr>
        <w:t>人员工资增加</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年初预算数为0.00万元,支出决算为13.90万元,完成年初预算的%,决算数大于预算数的主要原因是</w:t>
      </w:r>
      <w:r>
        <w:rPr>
          <w:rFonts w:hint="eastAsia" w:ascii="宋体" w:hAnsi="宋体"/>
          <w:color w:val="auto"/>
          <w:sz w:val="24"/>
          <w:szCs w:val="24"/>
          <w:lang w:val="en-US" w:eastAsia="zh-CN"/>
        </w:rPr>
        <w:t>支出功能分类变动</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年初预算数为43.34万元,支出决算为42.12万元,完成年初预算的97.17%,决算数小于预算数的主要原因是</w:t>
      </w:r>
      <w:r>
        <w:rPr>
          <w:rFonts w:hint="eastAsia" w:ascii="宋体" w:hAnsi="宋体"/>
          <w:color w:val="auto"/>
          <w:sz w:val="24"/>
          <w:szCs w:val="24"/>
          <w:lang w:val="en-US" w:eastAsia="zh-CN"/>
        </w:rPr>
        <w:t>人员工资增加</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2023年度一般公共预算财政拨款基本支出582.85万元。其中：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564.89万元,较上年决算数减少404.41万元,下降41.72%,主要原因是</w:t>
      </w:r>
      <w:r>
        <w:rPr>
          <w:rFonts w:hint="eastAsia" w:ascii="宋体" w:hAnsi="宋体"/>
          <w:color w:val="auto"/>
          <w:sz w:val="24"/>
          <w:szCs w:val="24"/>
          <w:lang w:val="en-US" w:eastAsia="zh-CN"/>
        </w:rPr>
        <w:t>优抚金科目变动</w:t>
      </w:r>
      <w:r>
        <w:rPr>
          <w:rFonts w:hint="eastAsia" w:ascii="宋体" w:hAnsi="宋体"/>
          <w:color w:val="auto"/>
          <w:sz w:val="24"/>
          <w:szCs w:val="24"/>
          <w:lang w:val="zh-CN"/>
        </w:rPr>
        <w:t>。</w:t>
      </w:r>
      <w:r>
        <w:rPr>
          <w:rFonts w:hint="eastAsia" w:ascii="宋体" w:hAnsi="宋体"/>
          <w:color w:val="auto"/>
          <w:sz w:val="24"/>
          <w:szCs w:val="24"/>
          <w:lang w:val="zh-CN"/>
        </w:rPr>
        <w:t>人员经费用途主要包括基本工资、津贴补贴、奖金、机关事业单位基本养老保险缴费、职工基本医疗保险缴费、其他社会保障缴费、住房公积金、退休费。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17.95万元,较上年决算数增加5.79万元,增长47.58%,主要原因是</w:t>
      </w:r>
      <w:r>
        <w:rPr>
          <w:rFonts w:hint="eastAsia" w:ascii="宋体" w:hAnsi="宋体"/>
          <w:color w:val="auto"/>
          <w:sz w:val="24"/>
          <w:szCs w:val="24"/>
          <w:lang w:val="en-US" w:eastAsia="zh-CN"/>
        </w:rPr>
        <w:t>车补增加</w:t>
      </w:r>
      <w:r>
        <w:rPr>
          <w:rFonts w:hint="eastAsia" w:ascii="宋体" w:hAnsi="宋体"/>
          <w:color w:val="auto"/>
          <w:sz w:val="24"/>
          <w:szCs w:val="24"/>
          <w:lang w:val="zh-CN"/>
        </w:rPr>
        <w:t>。公用经费用途主要包括办公费、印刷费、</w:t>
      </w:r>
      <w:r>
        <w:rPr>
          <w:rFonts w:hint="eastAsia" w:ascii="宋体" w:hAnsi="宋体"/>
          <w:color w:val="auto"/>
          <w:sz w:val="24"/>
          <w:szCs w:val="24"/>
          <w:lang w:val="en-US" w:eastAsia="zh-CN"/>
        </w:rPr>
        <w:t>水</w:t>
      </w:r>
      <w:r>
        <w:rPr>
          <w:rFonts w:hint="eastAsia" w:ascii="宋体" w:hAnsi="宋体"/>
          <w:color w:val="auto"/>
          <w:sz w:val="24"/>
          <w:szCs w:val="24"/>
          <w:lang w:val="zh-CN"/>
        </w:rPr>
        <w:t>费、</w:t>
      </w:r>
      <w:r>
        <w:rPr>
          <w:rFonts w:hint="eastAsia" w:ascii="宋体" w:hAnsi="宋体"/>
          <w:color w:val="auto"/>
          <w:sz w:val="24"/>
          <w:szCs w:val="24"/>
          <w:lang w:val="en-US" w:eastAsia="zh-CN"/>
        </w:rPr>
        <w:t>电</w:t>
      </w:r>
      <w:r>
        <w:rPr>
          <w:rFonts w:hint="eastAsia" w:ascii="宋体" w:hAnsi="宋体"/>
          <w:color w:val="auto"/>
          <w:sz w:val="24"/>
          <w:szCs w:val="24"/>
          <w:lang w:val="zh-CN"/>
        </w:rPr>
        <w:t>费、差旅费、其他交通费用。</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行政单位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eastAsia="zh-CN"/>
        </w:rPr>
        <w:t>无变动</w:t>
      </w:r>
      <w:r>
        <w:rPr>
          <w:rFonts w:hint="eastAsia" w:ascii="宋体" w:hAnsi="宋体"/>
          <w:color w:val="auto"/>
          <w:sz w:val="24"/>
          <w:szCs w:val="24"/>
          <w:lang w:val="zh-CN"/>
        </w:rPr>
        <w:t>。</w:t>
      </w:r>
    </w:p>
    <w:p>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eastAsia="zh-CN"/>
        </w:rPr>
        <w:t>无变动</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eastAsia="zh-CN"/>
        </w:rPr>
        <w:t>无变动</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eastAsia="zh-CN"/>
        </w:rPr>
        <w:t>无变动</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eastAsia="zh-CN"/>
        </w:rPr>
        <w:t>无变动</w:t>
      </w:r>
      <w:r>
        <w:rPr>
          <w:rFonts w:hint="eastAsia" w:ascii="宋体" w:hAnsi="宋体"/>
          <w:color w:val="auto"/>
          <w:sz w:val="24"/>
          <w:szCs w:val="24"/>
          <w:lang w:val="zh-CN"/>
        </w:rPr>
        <w:t>。</w:t>
      </w:r>
    </w:p>
    <w:p>
      <w:pPr>
        <w:numPr>
          <w:ilvl w:val="0"/>
          <w:numId w:val="3"/>
        </w:numPr>
        <w:spacing w:before="100" w:beforeLines="0" w:after="100" w:afterLines="0"/>
        <w:jc w:val="left"/>
        <w:rPr>
          <w:rFonts w:hint="default" w:ascii="宋体" w:hAnsi="宋体"/>
          <w:color w:val="auto"/>
          <w:sz w:val="24"/>
          <w:szCs w:val="24"/>
          <w:lang w:val="en-US" w:eastAsia="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auto"/>
          <w:sz w:val="24"/>
          <w:szCs w:val="24"/>
          <w:lang w:val="en-US" w:eastAsia="zh-CN"/>
        </w:rPr>
        <w:t>无变动</w:t>
      </w:r>
      <w:r>
        <w:rPr>
          <w:rFonts w:hint="eastAsia" w:ascii="宋体" w:hAnsi="宋体"/>
          <w:color w:val="auto"/>
          <w:sz w:val="24"/>
          <w:szCs w:val="24"/>
          <w:lang w:val="zh-CN"/>
        </w:rPr>
        <w:t>。</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为0辆；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2023年度本部门机关运行经费支出17.95万元,机关运行经费主要用于开支办公费、印刷费、水费、电费、差旅费、其他交通费用。</w:t>
      </w:r>
      <w:r>
        <w:rPr>
          <w:rFonts w:hint="eastAsia" w:ascii="宋体" w:hAnsi="宋体"/>
          <w:color w:val="auto"/>
          <w:sz w:val="24"/>
          <w:szCs w:val="24"/>
          <w:lang w:val="zh-CN"/>
        </w:rPr>
        <w:t>机关运行经费较上年决算数增加5.79万元,增长47.62%,主要原因是</w:t>
      </w:r>
      <w:r>
        <w:rPr>
          <w:rFonts w:hint="eastAsia" w:ascii="宋体" w:hAnsi="宋体"/>
          <w:color w:val="auto"/>
          <w:sz w:val="24"/>
          <w:szCs w:val="24"/>
          <w:lang w:val="en-US" w:eastAsia="zh-CN"/>
        </w:rPr>
        <w:t>车补增加</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w:t>
      </w:r>
      <w:r>
        <w:rPr>
          <w:rFonts w:hint="eastAsia" w:ascii="宋体" w:hAnsi="宋体"/>
          <w:color w:val="auto"/>
          <w:sz w:val="24"/>
          <w:szCs w:val="24"/>
          <w:lang w:val="en-US" w:eastAsia="zh-CN"/>
        </w:rPr>
        <w:t>无变动</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辆,其中,副部(省)级及以上领导用车0辆、主要领导干部用车0辆、机要通信用车0辆、应急保障用车0辆、执法执勤用车0辆,特种专业技术用车0辆,离退休干部用车0辆,其他用车1辆,其他用车主要是用于</w:t>
      </w:r>
      <w:r>
        <w:rPr>
          <w:rFonts w:hint="eastAsia" w:ascii="宋体" w:hAnsi="宋体"/>
          <w:color w:val="auto"/>
          <w:sz w:val="24"/>
          <w:szCs w:val="24"/>
          <w:lang w:val="en-US" w:eastAsia="zh-CN"/>
        </w:rPr>
        <w:t>公务用车</w:t>
      </w:r>
      <w:r>
        <w:rPr>
          <w:rFonts w:hint="eastAsia" w:ascii="宋体" w:hAnsi="宋体"/>
          <w:color w:val="auto"/>
          <w:sz w:val="24"/>
          <w:szCs w:val="24"/>
          <w:lang w:val="zh-CN"/>
        </w:rPr>
        <w:t>。</w:t>
      </w:r>
      <w:r>
        <w:rPr>
          <w:rFonts w:hint="eastAsia" w:ascii="宋体" w:hAnsi="宋体"/>
          <w:color w:val="auto"/>
          <w:sz w:val="24"/>
          <w:szCs w:val="24"/>
          <w:lang w:val="zh-CN"/>
        </w:rPr>
        <w:t>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本单位未开展预算绩效管理,若有附件。</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本单位未开展预算绩效管理,若有附件。</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本单位未开展预算绩效管理,若有附件。</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本单位未开展预算绩效管理,若有附件。</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OGI5NmM3MDQwN2QzZTZjNWIyN2M4NGI5ODM3MDkifQ=="/>
  </w:docVars>
  <w:rsids>
    <w:rsidRoot w:val="00000000"/>
    <w:rsid w:val="66D036B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2349f2b4-ef1b-450a-8067-68f3633efc55}">
  <ds:schemaRefs/>
</ds:datastoreItem>
</file>

<file path=customXml/itemProps2.xml><?xml version="1.0" encoding="utf-8"?>
<ds:datastoreItem xmlns:ds="http://schemas.openxmlformats.org/officeDocument/2006/customXml" ds:itemID="{58f9a6a8-bbe0-4fdc-a6d0-0dcc733f691b}">
  <ds:schemaRefs/>
</ds:datastoreItem>
</file>

<file path=customXml/itemProps3.xml><?xml version="1.0" encoding="utf-8"?>
<ds:datastoreItem xmlns:ds="http://schemas.openxmlformats.org/officeDocument/2006/customXml" ds:itemID="{e4d416ea-6879-419f-804b-b21be4a4228d}">
  <ds:schemaRefs/>
</ds:datastoreItem>
</file>

<file path=customXml/itemProps4.xml><?xml version="1.0" encoding="utf-8"?>
<ds:datastoreItem xmlns:ds="http://schemas.openxmlformats.org/officeDocument/2006/customXml" ds:itemID="{64863665-0be5-4f23-9a5f-18af34f1512b}">
  <ds:schemaRefs/>
</ds:datastoreItem>
</file>

<file path=customXml/itemProps5.xml><?xml version="1.0" encoding="utf-8"?>
<ds:datastoreItem xmlns:ds="http://schemas.openxmlformats.org/officeDocument/2006/customXml" ds:itemID="{4f429d86-104e-454a-9cff-4148387ade4a}">
  <ds:schemaRefs/>
</ds:datastoreItem>
</file>

<file path=customXml/itemProps6.xml><?xml version="1.0" encoding="utf-8"?>
<ds:datastoreItem xmlns:ds="http://schemas.openxmlformats.org/officeDocument/2006/customXml" ds:itemID="{ce3dd18b-21a5-4486-8a4d-3a141714aaca}">
  <ds:schemaRefs/>
</ds:datastoreItem>
</file>

<file path=customXml/itemProps7.xml><?xml version="1.0" encoding="utf-8"?>
<ds:datastoreItem xmlns:ds="http://schemas.openxmlformats.org/officeDocument/2006/customXml" ds:itemID="{476d382e-0364-4027-8d25-33f5578bb69d}">
  <ds:schemaRefs/>
</ds:datastoreItem>
</file>

<file path=customXml/itemProps8.xml><?xml version="1.0" encoding="utf-8"?>
<ds:datastoreItem xmlns:ds="http://schemas.openxmlformats.org/officeDocument/2006/customXml" ds:itemID="{1da1118b-06d9-4fc9-8492-a1ab748a4aea}">
  <ds:schemaRefs/>
</ds:datastoreItem>
</file>

<file path=customXml/itemProps9.xml><?xml version="1.0" encoding="utf-8"?>
<ds:datastoreItem xmlns:ds="http://schemas.openxmlformats.org/officeDocument/2006/customXml" ds:itemID="{8aa460bd-414a-45e6-ac14-1db0f7a9681e}">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23</TotalTime>
  <ScaleCrop>false</ScaleCrop>
  <LinksUpToDate>false</LinksUpToDate>
  <CharactersWithSpaces>19293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2024-09-09T07:50:55Z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E06D266F13EA4024808CEEADBAD91186_11</vt:lpwstr>
  </property>
</Properties>
</file>