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3CE73">
      <w:pPr>
        <w:spacing w:before="100" w:beforeLines="0" w:after="100" w:afterLines="0"/>
        <w:jc w:val="center"/>
        <w:rPr>
          <w:rFonts w:hint="eastAsia" w:ascii="宋体" w:hAnsi="宋体"/>
          <w:sz w:val="24"/>
          <w:szCs w:val="24"/>
          <w:lang w:val="zh-CN"/>
        </w:rPr>
      </w:pPr>
    </w:p>
    <w:p w14:paraId="2FB98F2F">
      <w:pPr>
        <w:spacing w:before="100" w:beforeLines="0" w:after="100" w:afterLines="0"/>
        <w:jc w:val="center"/>
        <w:rPr>
          <w:rFonts w:hint="eastAsia" w:ascii="宋体" w:hAnsi="宋体"/>
          <w:sz w:val="24"/>
          <w:szCs w:val="24"/>
          <w:lang w:val="zh-CN"/>
        </w:rPr>
      </w:pPr>
    </w:p>
    <w:p w14:paraId="525D78F6">
      <w:pPr>
        <w:spacing w:before="100" w:beforeLines="0" w:after="100" w:afterLines="0"/>
        <w:jc w:val="center"/>
        <w:rPr>
          <w:rFonts w:hint="eastAsia" w:ascii="宋体" w:hAnsi="宋体"/>
          <w:sz w:val="24"/>
          <w:szCs w:val="24"/>
          <w:lang w:val="zh-CN"/>
        </w:rPr>
      </w:pPr>
    </w:p>
    <w:p w14:paraId="5A430E00">
      <w:pPr>
        <w:spacing w:before="100" w:beforeLines="0" w:after="100" w:afterLines="0"/>
        <w:jc w:val="center"/>
        <w:rPr>
          <w:rFonts w:hint="eastAsia" w:ascii="宋体" w:hAnsi="宋体"/>
          <w:sz w:val="24"/>
          <w:szCs w:val="24"/>
          <w:lang w:val="zh-CN"/>
        </w:rPr>
      </w:pPr>
    </w:p>
    <w:p w14:paraId="3F044991">
      <w:pPr>
        <w:spacing w:before="100" w:beforeLines="0" w:after="100" w:afterLines="0"/>
        <w:jc w:val="center"/>
        <w:rPr>
          <w:rFonts w:hint="eastAsia" w:ascii="宋体" w:hAnsi="宋体"/>
          <w:sz w:val="24"/>
          <w:szCs w:val="24"/>
          <w:lang w:val="zh-CN"/>
        </w:rPr>
      </w:pPr>
    </w:p>
    <w:p w14:paraId="351C177B">
      <w:pPr>
        <w:spacing w:before="100" w:beforeLines="0" w:after="100" w:afterLines="0"/>
        <w:jc w:val="center"/>
        <w:rPr>
          <w:rFonts w:hint="eastAsia" w:ascii="宋体" w:hAnsi="宋体"/>
          <w:sz w:val="24"/>
          <w:szCs w:val="24"/>
          <w:lang w:val="zh-CN"/>
        </w:rPr>
      </w:pPr>
    </w:p>
    <w:p w14:paraId="43BA7482">
      <w:pPr>
        <w:spacing w:before="100" w:beforeLines="0" w:after="100" w:afterLines="0"/>
        <w:jc w:val="center"/>
        <w:rPr>
          <w:rFonts w:hint="eastAsia" w:ascii="宋体" w:hAnsi="宋体"/>
          <w:sz w:val="24"/>
          <w:szCs w:val="24"/>
          <w:lang w:val="zh-CN"/>
        </w:rPr>
      </w:pPr>
    </w:p>
    <w:p w14:paraId="412DDC34">
      <w:pPr>
        <w:spacing w:before="100" w:beforeLines="0" w:after="100" w:afterLines="0"/>
        <w:jc w:val="center"/>
        <w:rPr>
          <w:rFonts w:hint="eastAsia" w:ascii="宋体" w:hAnsi="宋体"/>
          <w:sz w:val="24"/>
          <w:szCs w:val="24"/>
          <w:lang w:val="zh-CN"/>
        </w:rPr>
      </w:pPr>
    </w:p>
    <w:p w14:paraId="2DA3E7D4">
      <w:pPr>
        <w:spacing w:before="100" w:beforeLines="0" w:after="100" w:afterLines="0"/>
        <w:jc w:val="center"/>
        <w:rPr>
          <w:rFonts w:hint="eastAsia" w:ascii="宋体" w:hAnsi="宋体"/>
          <w:sz w:val="24"/>
          <w:szCs w:val="24"/>
          <w:lang w:val="zh-CN"/>
        </w:rPr>
      </w:pPr>
    </w:p>
    <w:p w14:paraId="41697BD1">
      <w:pPr>
        <w:spacing w:before="100" w:beforeLines="0" w:after="100" w:afterLines="0"/>
        <w:jc w:val="center"/>
        <w:rPr>
          <w:rFonts w:hint="eastAsia" w:ascii="宋体" w:hAnsi="宋体"/>
          <w:sz w:val="24"/>
          <w:szCs w:val="24"/>
          <w:lang w:val="zh-CN"/>
        </w:rPr>
      </w:pPr>
    </w:p>
    <w:p w14:paraId="4EB84F4C">
      <w:pPr>
        <w:spacing w:before="100" w:beforeLines="0" w:after="100" w:afterLines="0"/>
        <w:jc w:val="center"/>
        <w:rPr>
          <w:rFonts w:hint="eastAsia" w:ascii="宋体" w:hAnsi="宋体"/>
          <w:sz w:val="24"/>
          <w:szCs w:val="24"/>
          <w:lang w:val="zh-CN"/>
        </w:rPr>
      </w:pPr>
    </w:p>
    <w:p w14:paraId="39E0B2B5">
      <w:pPr>
        <w:spacing w:before="100" w:beforeLines="0" w:after="100" w:afterLines="0"/>
        <w:jc w:val="center"/>
        <w:rPr>
          <w:rFonts w:hint="eastAsia" w:ascii="宋体" w:hAnsi="宋体"/>
          <w:sz w:val="24"/>
          <w:szCs w:val="24"/>
          <w:lang w:val="zh-CN"/>
        </w:rPr>
      </w:pPr>
    </w:p>
    <w:p w14:paraId="2B15AD20">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15E07278">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东乡族自治县那勒寺中心卫生院部门决算</w:t>
      </w:r>
    </w:p>
    <w:p w14:paraId="5F22B63D">
      <w:pPr>
        <w:spacing w:before="100" w:beforeLines="0" w:after="100" w:afterLines="0"/>
        <w:jc w:val="center"/>
        <w:rPr>
          <w:rFonts w:hint="eastAsia" w:ascii="宋体" w:hAnsi="宋体"/>
          <w:sz w:val="24"/>
          <w:szCs w:val="24"/>
          <w:lang w:val="zh-CN"/>
        </w:rPr>
      </w:pPr>
    </w:p>
    <w:p w14:paraId="35F5DDBF">
      <w:pPr>
        <w:spacing w:before="100" w:beforeLines="0" w:after="100" w:afterLines="0"/>
        <w:jc w:val="center"/>
        <w:rPr>
          <w:rFonts w:hint="eastAsia" w:ascii="宋体" w:hAnsi="宋体"/>
          <w:sz w:val="24"/>
          <w:szCs w:val="24"/>
          <w:lang w:val="zh-CN"/>
        </w:rPr>
      </w:pPr>
    </w:p>
    <w:p w14:paraId="16B7E85A">
      <w:pPr>
        <w:spacing w:before="100" w:beforeLines="0" w:after="100" w:afterLines="0"/>
        <w:jc w:val="center"/>
        <w:rPr>
          <w:rFonts w:hint="eastAsia" w:ascii="宋体" w:hAnsi="宋体"/>
          <w:sz w:val="24"/>
          <w:szCs w:val="24"/>
          <w:lang w:val="zh-CN"/>
        </w:rPr>
      </w:pPr>
    </w:p>
    <w:p w14:paraId="2695D629">
      <w:pPr>
        <w:spacing w:before="100" w:beforeLines="0" w:after="100" w:afterLines="0"/>
        <w:jc w:val="center"/>
        <w:rPr>
          <w:rFonts w:hint="eastAsia" w:ascii="宋体" w:hAnsi="宋体"/>
          <w:sz w:val="24"/>
          <w:szCs w:val="24"/>
          <w:lang w:val="zh-CN"/>
        </w:rPr>
      </w:pPr>
    </w:p>
    <w:p w14:paraId="50D25A7B">
      <w:pPr>
        <w:spacing w:before="100" w:beforeLines="0" w:after="100" w:afterLines="0"/>
        <w:jc w:val="center"/>
        <w:rPr>
          <w:rFonts w:hint="eastAsia" w:ascii="宋体" w:hAnsi="宋体"/>
          <w:sz w:val="24"/>
          <w:szCs w:val="24"/>
          <w:lang w:val="zh-CN"/>
        </w:rPr>
      </w:pPr>
    </w:p>
    <w:p w14:paraId="1366B8ED">
      <w:pPr>
        <w:spacing w:before="100" w:beforeLines="0" w:after="100" w:afterLines="0"/>
        <w:jc w:val="center"/>
        <w:rPr>
          <w:rFonts w:hint="eastAsia" w:ascii="宋体" w:hAnsi="宋体"/>
          <w:sz w:val="24"/>
          <w:szCs w:val="24"/>
          <w:lang w:val="zh-CN"/>
        </w:rPr>
      </w:pPr>
    </w:p>
    <w:p w14:paraId="05975731">
      <w:pPr>
        <w:spacing w:before="100" w:beforeLines="0" w:after="100" w:afterLines="0"/>
        <w:jc w:val="center"/>
        <w:rPr>
          <w:rFonts w:hint="eastAsia" w:ascii="宋体" w:hAnsi="宋体"/>
          <w:sz w:val="24"/>
          <w:szCs w:val="24"/>
          <w:lang w:val="zh-CN"/>
        </w:rPr>
      </w:pPr>
    </w:p>
    <w:p w14:paraId="78971C32">
      <w:pPr>
        <w:spacing w:before="100" w:beforeLines="0" w:after="100" w:afterLines="0"/>
        <w:jc w:val="center"/>
        <w:rPr>
          <w:rFonts w:hint="eastAsia" w:ascii="宋体" w:hAnsi="宋体"/>
          <w:sz w:val="24"/>
          <w:szCs w:val="24"/>
          <w:lang w:val="zh-CN"/>
        </w:rPr>
      </w:pPr>
    </w:p>
    <w:p w14:paraId="5D3CDA32">
      <w:pPr>
        <w:spacing w:before="100" w:beforeLines="0" w:after="100" w:afterLines="0"/>
        <w:jc w:val="center"/>
        <w:rPr>
          <w:rFonts w:hint="eastAsia" w:ascii="宋体" w:hAnsi="宋体"/>
          <w:sz w:val="24"/>
          <w:szCs w:val="24"/>
          <w:lang w:val="zh-CN"/>
        </w:rPr>
      </w:pPr>
    </w:p>
    <w:p w14:paraId="79F19F15">
      <w:pPr>
        <w:spacing w:before="100" w:beforeLines="0" w:after="100" w:afterLines="0"/>
        <w:jc w:val="center"/>
        <w:rPr>
          <w:rFonts w:hint="eastAsia" w:ascii="宋体" w:hAnsi="宋体"/>
          <w:sz w:val="24"/>
          <w:szCs w:val="24"/>
          <w:lang w:val="zh-CN"/>
        </w:rPr>
      </w:pPr>
    </w:p>
    <w:p w14:paraId="1E809D04">
      <w:pPr>
        <w:spacing w:before="100" w:beforeLines="0" w:after="100" w:afterLines="0"/>
        <w:jc w:val="center"/>
        <w:rPr>
          <w:rFonts w:hint="eastAsia" w:ascii="宋体" w:hAnsi="宋体"/>
          <w:sz w:val="24"/>
          <w:szCs w:val="24"/>
          <w:lang w:val="zh-CN"/>
        </w:rPr>
      </w:pPr>
    </w:p>
    <w:p w14:paraId="26E028CA">
      <w:pPr>
        <w:spacing w:before="100" w:beforeLines="0" w:after="100" w:afterLines="0"/>
        <w:jc w:val="center"/>
        <w:rPr>
          <w:rFonts w:hint="eastAsia" w:ascii="宋体" w:hAnsi="宋体"/>
          <w:sz w:val="24"/>
          <w:szCs w:val="24"/>
          <w:lang w:val="zh-CN"/>
        </w:rPr>
      </w:pPr>
    </w:p>
    <w:p w14:paraId="13CE9936">
      <w:pPr>
        <w:spacing w:before="100" w:beforeLines="0" w:after="100" w:afterLines="0"/>
        <w:jc w:val="center"/>
        <w:rPr>
          <w:rFonts w:hint="eastAsia" w:ascii="宋体" w:hAnsi="宋体"/>
          <w:sz w:val="24"/>
          <w:szCs w:val="24"/>
          <w:lang w:val="zh-CN"/>
        </w:rPr>
      </w:pPr>
    </w:p>
    <w:p w14:paraId="03C9D2D3">
      <w:pPr>
        <w:spacing w:before="100" w:beforeLines="0" w:after="100" w:afterLines="0"/>
        <w:jc w:val="center"/>
        <w:rPr>
          <w:rFonts w:hint="eastAsia" w:ascii="宋体" w:hAnsi="宋体"/>
          <w:sz w:val="24"/>
          <w:szCs w:val="24"/>
          <w:lang w:val="zh-CN"/>
        </w:rPr>
      </w:pPr>
    </w:p>
    <w:p w14:paraId="50F4DEF2">
      <w:pPr>
        <w:spacing w:before="100" w:beforeLines="0" w:after="100" w:afterLines="0"/>
        <w:jc w:val="center"/>
        <w:rPr>
          <w:rFonts w:hint="eastAsia" w:ascii="宋体" w:hAnsi="宋体"/>
          <w:sz w:val="24"/>
          <w:szCs w:val="24"/>
          <w:lang w:val="zh-CN"/>
        </w:rPr>
      </w:pPr>
    </w:p>
    <w:p w14:paraId="5823AF12">
      <w:pPr>
        <w:spacing w:before="100" w:beforeLines="0" w:after="100" w:afterLines="0"/>
        <w:jc w:val="center"/>
        <w:rPr>
          <w:rFonts w:hint="eastAsia" w:ascii="宋体" w:hAnsi="宋体"/>
          <w:sz w:val="24"/>
          <w:szCs w:val="24"/>
          <w:lang w:val="zh-CN"/>
        </w:rPr>
      </w:pPr>
    </w:p>
    <w:p w14:paraId="67C2F005">
      <w:pPr>
        <w:spacing w:before="100" w:beforeLines="0" w:after="100" w:afterLines="0"/>
        <w:jc w:val="center"/>
        <w:rPr>
          <w:rFonts w:hint="eastAsia" w:ascii="宋体" w:hAnsi="宋体"/>
          <w:sz w:val="24"/>
          <w:szCs w:val="24"/>
          <w:lang w:val="zh-CN"/>
        </w:rPr>
      </w:pPr>
    </w:p>
    <w:p w14:paraId="7A7E4F31">
      <w:pPr>
        <w:spacing w:before="100" w:beforeLines="0" w:after="100" w:afterLines="0"/>
        <w:jc w:val="center"/>
        <w:rPr>
          <w:rFonts w:hint="eastAsia" w:ascii="宋体" w:hAnsi="宋体"/>
          <w:sz w:val="24"/>
          <w:szCs w:val="24"/>
          <w:lang w:val="zh-CN"/>
        </w:rPr>
      </w:pPr>
    </w:p>
    <w:p w14:paraId="3A607CBB">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2F2561E0">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0C2AC25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1C2EE78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5426CC1A">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771CD84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550561D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4A1C991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7A01D91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25AF279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56A6F04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214B035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7FFB248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7E0E3C8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3C812D15">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54AB612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2C02A21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1EB0701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3FF77CB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1BCE9FB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080DF04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7EB4FB9C">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34AD01A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2C4CF33A">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56A4877B">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4FAA942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2E5D8E9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378574F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2D80128A">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14CD88BB">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608B3CB6">
      <w:pPr>
        <w:spacing w:before="100" w:beforeLines="0" w:after="100" w:afterLines="0"/>
        <w:jc w:val="center"/>
        <w:rPr>
          <w:rFonts w:hint="eastAsia" w:ascii="宋体" w:hAnsi="宋体"/>
          <w:sz w:val="24"/>
          <w:szCs w:val="24"/>
          <w:lang w:val="zh-CN"/>
        </w:rPr>
      </w:pPr>
    </w:p>
    <w:p w14:paraId="20FADB33">
      <w:pPr>
        <w:spacing w:before="100" w:beforeLines="0" w:after="100" w:afterLines="0"/>
        <w:jc w:val="center"/>
        <w:rPr>
          <w:rFonts w:hint="eastAsia" w:ascii="宋体" w:hAnsi="宋体"/>
          <w:sz w:val="24"/>
          <w:szCs w:val="24"/>
          <w:lang w:val="zh-CN"/>
        </w:rPr>
      </w:pPr>
    </w:p>
    <w:p w14:paraId="133C470E">
      <w:pPr>
        <w:spacing w:before="100" w:beforeLines="0" w:after="100" w:afterLines="0"/>
        <w:jc w:val="center"/>
        <w:rPr>
          <w:rFonts w:hint="eastAsia" w:ascii="宋体" w:hAnsi="宋体"/>
          <w:sz w:val="24"/>
          <w:szCs w:val="24"/>
          <w:lang w:val="zh-CN"/>
        </w:rPr>
      </w:pPr>
    </w:p>
    <w:p w14:paraId="33B058F2">
      <w:pPr>
        <w:spacing w:before="100" w:beforeLines="0" w:after="100" w:afterLines="0"/>
        <w:jc w:val="center"/>
        <w:rPr>
          <w:rFonts w:hint="eastAsia" w:ascii="宋体" w:hAnsi="宋体"/>
          <w:sz w:val="24"/>
          <w:szCs w:val="24"/>
          <w:lang w:val="zh-CN"/>
        </w:rPr>
      </w:pPr>
    </w:p>
    <w:p w14:paraId="4BCA865F">
      <w:pPr>
        <w:spacing w:before="100" w:beforeLines="0" w:after="100" w:afterLines="0"/>
        <w:jc w:val="center"/>
        <w:rPr>
          <w:rFonts w:hint="eastAsia" w:ascii="宋体" w:hAnsi="宋体"/>
          <w:sz w:val="24"/>
          <w:szCs w:val="24"/>
          <w:lang w:val="zh-CN"/>
        </w:rPr>
      </w:pPr>
    </w:p>
    <w:p w14:paraId="09822CF9">
      <w:pPr>
        <w:spacing w:before="100" w:beforeLines="0" w:after="100" w:afterLines="0"/>
        <w:jc w:val="center"/>
        <w:rPr>
          <w:rFonts w:hint="eastAsia" w:ascii="宋体" w:hAnsi="宋体"/>
          <w:sz w:val="24"/>
          <w:szCs w:val="24"/>
          <w:lang w:val="zh-CN"/>
        </w:rPr>
      </w:pPr>
    </w:p>
    <w:p w14:paraId="7D289960">
      <w:pPr>
        <w:spacing w:before="100" w:beforeLines="0" w:after="100" w:afterLines="0"/>
        <w:jc w:val="center"/>
        <w:rPr>
          <w:rFonts w:hint="eastAsia" w:ascii="宋体" w:hAnsi="宋体"/>
          <w:sz w:val="24"/>
          <w:szCs w:val="24"/>
          <w:lang w:val="zh-CN"/>
        </w:rPr>
      </w:pPr>
    </w:p>
    <w:p w14:paraId="0823AF1C">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78B8A68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一、单位职责</w:t>
      </w:r>
    </w:p>
    <w:p w14:paraId="1D7CAA2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（一）负责所在地区内医疗卫生工作，组织领导群众卫生运动，培训卫生技术人员。并对基层卫生医疗机构进行业务指导和会诊工作。</w:t>
      </w:r>
    </w:p>
    <w:p w14:paraId="7547063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（二）是农村三级医疗网点的重要环节，担负着医疗防疫，保健的重要任务，是直接解决农村看病难看病贵的重要一关。</w:t>
      </w:r>
    </w:p>
    <w:p w14:paraId="6B92D54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（三）提供公共卫生服务，承担本乡镇农村居民健康档案规范建档指导、管理及服务</w:t>
      </w:r>
    </w:p>
    <w:p w14:paraId="5124F72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（四）及时发现、登记并报告本镇内发现的传染病例和疑似病例，参与现场疫情处理。</w:t>
      </w:r>
    </w:p>
    <w:p w14:paraId="4048558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（五）普及卫生保健常识，在重点人群和重点场所开展健康教育，帮助居民形成有利于维护和增进健康的行为方式;指导开展爱国卫生工作。</w:t>
      </w:r>
    </w:p>
    <w:p w14:paraId="6594340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（六）为人民身体健康提供医疗与护理保健服务。医疗、护理、预防保健、基层医疗组织与管理。</w:t>
      </w:r>
    </w:p>
    <w:p w14:paraId="174FD77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0206919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卫生院设全科门诊、中医理疗科、治疗室、检验室、B超室及心电图室，DR室，彩超室等9个临床科室，设有公卫科、财务室、医保办、计划免疫室、妇幼保健室、健康扶贫办公室、计划生育科、收费室等8个辅助科室。</w:t>
      </w:r>
    </w:p>
    <w:p w14:paraId="1402195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0ADCC5FB">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en-US" w:eastAsia="zh-CN"/>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lang w:val="zh-CN"/>
        </w:rPr>
        <w:t>现有职工53人，其中正式在编19人，同工同酬11人，财政招聘10人，医院自聘13人；按职称分：中级职称1人，初级职称3人;按学历分：本科10人、大专32人、中专11人。现有救护车辆1辆，全自动生化分析仪、彩超、CR影像仪、血球分析仪、尿液分析仪、心电图机等医疗设备各一台。开设床位28张。设有全科门诊、中医门诊、牙科门诊、妇产科门诊、中医理疗科、治疗室、检验室、B超室、放射室、心电图室等10个临床科室，设有党建办、财务室、医保办、收费室、公共卫生科、免疫规划室、妇幼保健室、健康咨询室等8个辅助科室。</w:t>
      </w:r>
    </w:p>
    <w:p w14:paraId="1D788000">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6E88FEDD">
      <w:pPr>
        <w:spacing w:before="100" w:beforeLines="0" w:after="100" w:afterLines="0"/>
        <w:jc w:val="center"/>
        <w:rPr>
          <w:rFonts w:hint="eastAsia" w:ascii="宋体" w:hAnsi="宋体"/>
          <w:color w:val="auto"/>
          <w:sz w:val="24"/>
          <w:szCs w:val="24"/>
          <w:lang w:val="zh-CN"/>
        </w:rPr>
      </w:pPr>
      <w:r>
        <w:rPr>
          <w:rFonts w:hint="eastAsia" w:ascii="宋体" w:hAnsi="宋体"/>
          <w:color w:val="auto"/>
          <w:sz w:val="24"/>
          <w:szCs w:val="24"/>
          <w:lang w:val="zh-CN"/>
        </w:rPr>
        <w:t>（</w:t>
      </w:r>
      <w:bookmarkStart w:id="0" w:name="_GoBack"/>
      <w:bookmarkEnd w:id="0"/>
      <w:r>
        <w:rPr>
          <w:rFonts w:hint="eastAsia" w:ascii="宋体" w:hAnsi="宋体"/>
          <w:color w:val="auto"/>
          <w:sz w:val="24"/>
          <w:szCs w:val="24"/>
          <w:lang w:val="zh-CN"/>
        </w:rPr>
        <w:t>详见附件)</w:t>
      </w:r>
    </w:p>
    <w:p w14:paraId="0E6C197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2E8351D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70670E1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38FD82A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68B9BCA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4835366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7725873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5A973E3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77B11F7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6862FDE8">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3FEEC70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09293CE8">
      <w:pPr>
        <w:spacing w:before="100" w:beforeLines="0" w:after="100" w:afterLines="0"/>
        <w:ind w:firstLine="480" w:firstLineChars="200"/>
        <w:jc w:val="left"/>
        <w:rPr>
          <w:rFonts w:hint="default" w:ascii="宋体" w:hAnsi="宋体" w:eastAsia="宋体"/>
          <w:color w:val="FF0000"/>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750.77万元。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增加95.55万元,增长14.58%,主要原因是</w:t>
      </w:r>
      <w:r>
        <w:rPr>
          <w:rFonts w:hint="eastAsia" w:ascii="宋体" w:hAnsi="宋体"/>
          <w:color w:val="auto"/>
          <w:sz w:val="24"/>
          <w:szCs w:val="24"/>
          <w:lang w:val="en-US" w:eastAsia="zh-CN"/>
        </w:rPr>
        <w:t>人员增加，基本工资、社会保障缴费等增加；2023年对2022年的结转项目资金指标（公共卫生、药物制度等）进行了支出。</w:t>
      </w:r>
    </w:p>
    <w:p w14:paraId="33B71E7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5EFB4B13">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2023年度收入合计750.77万元,其中：财政拨款收入632.29万元,占84.22%；</w:t>
      </w:r>
      <w:r>
        <w:rPr>
          <w:rFonts w:hint="eastAsia" w:ascii="宋体" w:hAnsi="宋体"/>
          <w:color w:val="auto"/>
          <w:sz w:val="24"/>
          <w:szCs w:val="24"/>
          <w:lang w:val="en-US"/>
        </w:rPr>
        <w:t>事业</w:t>
      </w:r>
      <w:r>
        <w:rPr>
          <w:rFonts w:hint="eastAsia" w:ascii="宋体" w:hAnsi="宋体"/>
          <w:color w:val="auto"/>
          <w:sz w:val="24"/>
          <w:szCs w:val="24"/>
          <w:lang w:val="zh-CN"/>
        </w:rPr>
        <w:t>收入118.48万元,占15.78%。</w:t>
      </w:r>
    </w:p>
    <w:p w14:paraId="7E0C900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01513EF4">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2023年度支出合计735.24万元,其中：基本支出392.70万元,占53.41%；项目支出342.54万元,占46.59%。</w:t>
      </w:r>
    </w:p>
    <w:p w14:paraId="5461694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3C7EBDFA">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632.29万元。与</w:t>
      </w:r>
      <w:r>
        <w:rPr>
          <w:rFonts w:hint="eastAsia" w:ascii="宋体" w:hAnsi="宋体"/>
          <w:color w:val="auto"/>
          <w:sz w:val="24"/>
          <w:szCs w:val="24"/>
          <w:lang w:val="en-US"/>
        </w:rPr>
        <w:t>上</w:t>
      </w:r>
      <w:r>
        <w:rPr>
          <w:rFonts w:hint="eastAsia" w:ascii="宋体" w:hAnsi="宋体"/>
          <w:color w:val="auto"/>
          <w:sz w:val="24"/>
          <w:szCs w:val="24"/>
          <w:lang w:val="zh-CN"/>
        </w:rPr>
        <w:t>年相比,各增加93.76万元,增长17.41%。主要原因是</w:t>
      </w:r>
      <w:r>
        <w:rPr>
          <w:rFonts w:hint="eastAsia" w:ascii="宋体" w:hAnsi="宋体"/>
          <w:color w:val="auto"/>
          <w:sz w:val="24"/>
          <w:szCs w:val="24"/>
          <w:lang w:val="en-US" w:eastAsia="zh-CN"/>
        </w:rPr>
        <w:t>人员增加，基本工资、社会保障缴费等增加；2023年对2022年的结转项目资金指标（公共卫生、药物制度等）进行了支出。</w:t>
      </w:r>
    </w:p>
    <w:p w14:paraId="391EF8C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295E24F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4339D0D3">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2023年度一般公共预算财政拨款支出632.29万元,较上年决算数增加93.76万元,增长17.41%。主要原因是</w:t>
      </w:r>
      <w:r>
        <w:rPr>
          <w:rFonts w:hint="eastAsia" w:ascii="宋体" w:hAnsi="宋体"/>
          <w:color w:val="auto"/>
          <w:sz w:val="24"/>
          <w:szCs w:val="24"/>
          <w:lang w:val="en-US" w:eastAsia="zh-CN"/>
        </w:rPr>
        <w:t>人员增加，基本工资、社会保障缴费等增加；2023年对2022年的结转项目资金指标（公共卫生、药物制度等）进行了支出。</w:t>
      </w:r>
    </w:p>
    <w:p w14:paraId="3A7845F1">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3D571FEF">
      <w:pPr>
        <w:numPr>
          <w:ilvl w:val="0"/>
          <w:numId w:val="0"/>
        </w:num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632.29万元，主要用于以下方面：一般公共服务支出1.76万元,占0.28%；社会保障和就业支出22.29万元,占3.53%；卫生健康支出588.91万元,占93.14%；住房保障支出19.33万元,占3.06%。</w:t>
      </w:r>
    </w:p>
    <w:p w14:paraId="7D324592">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02805E7F">
      <w:pPr>
        <w:numPr>
          <w:ilvl w:val="0"/>
          <w:numId w:val="0"/>
        </w:numPr>
        <w:spacing w:before="100" w:beforeLines="0" w:after="100" w:afterLines="0"/>
        <w:ind w:leftChars="0" w:firstLine="480" w:firstLineChars="20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278.14万元,支出决算为632.29万元,完成年初预算的227.33%。其中：</w:t>
      </w:r>
    </w:p>
    <w:p w14:paraId="5213D489">
      <w:pPr>
        <w:spacing w:before="100" w:beforeLines="0" w:after="100" w:afterLines="0"/>
        <w:jc w:val="left"/>
        <w:rPr>
          <w:rFonts w:hint="default" w:ascii="宋体" w:hAnsi="宋体"/>
          <w:color w:val="auto"/>
          <w:sz w:val="24"/>
          <w:szCs w:val="24"/>
          <w:lang w:val="en-US"/>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年初预算数为2.70万元,支出决算为1.76万元,完成年初预算的64.99%,决算数小于预算数的决算数小于预算数的</w:t>
      </w:r>
      <w:r>
        <w:rPr>
          <w:rFonts w:hint="eastAsia" w:ascii="宋体" w:hAnsi="宋体"/>
          <w:color w:val="auto"/>
          <w:sz w:val="24"/>
          <w:szCs w:val="24"/>
          <w:lang w:val="en-US" w:eastAsia="zh-CN"/>
        </w:rPr>
        <w:t>主要原因是2023年实际参加工会人员相较于预算有所减少，申请较少。</w:t>
      </w:r>
    </w:p>
    <w:p w14:paraId="24555C17">
      <w:pPr>
        <w:spacing w:before="100" w:beforeLines="0" w:after="100" w:afterLines="0"/>
        <w:jc w:val="left"/>
        <w:rPr>
          <w:rFonts w:hint="eastAsia" w:ascii="宋体" w:hAnsi="宋体"/>
          <w:color w:val="FF0000"/>
          <w:sz w:val="24"/>
          <w:szCs w:val="24"/>
          <w:lang w:val="en-US" w:eastAsia="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年初预算数为25.03万元,支出决算为22.29万元,完成年初预算的89.05%,决算数小于预算数的主要原因是</w:t>
      </w:r>
      <w:r>
        <w:rPr>
          <w:rFonts w:hint="eastAsia" w:ascii="宋体" w:hAnsi="宋体"/>
          <w:color w:val="auto"/>
          <w:sz w:val="24"/>
          <w:szCs w:val="24"/>
          <w:lang w:val="en-US" w:eastAsia="zh-CN"/>
        </w:rPr>
        <w:t>预算与决算基本一致。</w:t>
      </w:r>
    </w:p>
    <w:p w14:paraId="4B5E4D96">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年初预算数为233.94万元,支出决算为588.91万元,完成年初预算的251.74%,决算数大于预算数的主要原因是</w:t>
      </w:r>
      <w:r>
        <w:rPr>
          <w:rFonts w:hint="eastAsia" w:ascii="宋体" w:hAnsi="宋体"/>
          <w:color w:val="auto"/>
          <w:sz w:val="24"/>
          <w:szCs w:val="24"/>
          <w:lang w:val="en-US" w:eastAsia="zh-CN"/>
        </w:rPr>
        <w:t>人员增加，基本工资、社会保障缴费等增加；2023年对2022年的结转项目资金指标（公共卫生、药物制度等）进行了支出。</w:t>
      </w:r>
    </w:p>
    <w:p w14:paraId="42047040">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年初预算数为16.47万元,支出决算为19.33万元,完成年初预算的117.42%,决算数大于预算数的</w:t>
      </w:r>
      <w:r>
        <w:rPr>
          <w:rFonts w:hint="eastAsia" w:ascii="宋体" w:hAnsi="宋体"/>
          <w:color w:val="auto"/>
          <w:sz w:val="24"/>
          <w:szCs w:val="24"/>
          <w:lang w:val="en-US" w:eastAsia="zh-CN"/>
        </w:rPr>
        <w:t>主要原因是人员有所增加，公积金配套增加</w:t>
      </w:r>
      <w:r>
        <w:rPr>
          <w:rFonts w:hint="eastAsia" w:ascii="宋体" w:hAnsi="宋体"/>
          <w:color w:val="auto"/>
          <w:sz w:val="24"/>
          <w:szCs w:val="24"/>
          <w:lang w:val="zh-CN"/>
        </w:rPr>
        <w:t>。</w:t>
      </w:r>
    </w:p>
    <w:p w14:paraId="5E5B1A5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7F150D05">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2023年度一般公共预算财政拨款基本支出289.75万元。其中：</w:t>
      </w:r>
    </w:p>
    <w:p w14:paraId="400E03C6">
      <w:pPr>
        <w:spacing w:before="100" w:beforeLines="0" w:after="100" w:afterLines="0"/>
        <w:ind w:firstLine="482" w:firstLineChars="200"/>
        <w:jc w:val="left"/>
        <w:rPr>
          <w:rFonts w:hint="default" w:ascii="宋体" w:hAnsi="宋体" w:eastAsia="宋体"/>
          <w:color w:val="auto"/>
          <w:sz w:val="24"/>
          <w:szCs w:val="24"/>
          <w:lang w:val="en-US" w:eastAsia="zh-CN"/>
        </w:rPr>
      </w:pPr>
      <w:r>
        <w:rPr>
          <w:rFonts w:hint="eastAsia" w:ascii="宋体" w:hAnsi="宋体"/>
          <w:b/>
          <w:color w:val="auto"/>
          <w:sz w:val="24"/>
          <w:szCs w:val="24"/>
          <w:lang w:val="zh-CN"/>
        </w:rPr>
        <w:t>人员经费</w:t>
      </w:r>
      <w:r>
        <w:rPr>
          <w:rFonts w:hint="eastAsia" w:ascii="宋体" w:hAnsi="宋体"/>
          <w:color w:val="auto"/>
          <w:sz w:val="24"/>
          <w:szCs w:val="24"/>
          <w:lang w:val="zh-CN"/>
        </w:rPr>
        <w:t>288.13万元,较上年决算数增加14.71万元,增长5.38%,主要原因是</w:t>
      </w:r>
      <w:r>
        <w:rPr>
          <w:rFonts w:hint="eastAsia" w:ascii="宋体" w:hAnsi="宋体"/>
          <w:color w:val="auto"/>
          <w:sz w:val="24"/>
          <w:szCs w:val="24"/>
          <w:lang w:val="en-US" w:eastAsia="zh-CN"/>
        </w:rPr>
        <w:t>人员增加，基本工资、社会保障缴费等增加。</w:t>
      </w:r>
      <w:r>
        <w:rPr>
          <w:rFonts w:hint="eastAsia" w:ascii="宋体" w:hAnsi="宋体"/>
          <w:color w:val="auto"/>
          <w:sz w:val="24"/>
          <w:szCs w:val="24"/>
          <w:lang w:val="zh-CN"/>
        </w:rPr>
        <w:t>人员经费用途主要包括基本工资、津贴补贴、奖金、社会保障缴费、</w:t>
      </w:r>
      <w:r>
        <w:rPr>
          <w:rFonts w:hint="eastAsia" w:ascii="宋体" w:hAnsi="宋体"/>
          <w:color w:val="auto"/>
          <w:sz w:val="24"/>
          <w:szCs w:val="24"/>
          <w:lang w:val="en-US" w:eastAsia="zh-CN"/>
        </w:rPr>
        <w:t>住房公积金、其他工资福利支出、退休费。</w:t>
      </w:r>
    </w:p>
    <w:p w14:paraId="24DCFE61">
      <w:pPr>
        <w:spacing w:before="100" w:beforeLines="0" w:after="100" w:afterLines="0"/>
        <w:ind w:firstLine="480" w:firstLineChars="200"/>
        <w:jc w:val="left"/>
        <w:rPr>
          <w:rFonts w:hint="eastAsia" w:ascii="宋体" w:hAnsi="宋体"/>
          <w:color w:val="auto"/>
          <w:sz w:val="24"/>
          <w:szCs w:val="24"/>
          <w:lang w:val="zh-CN"/>
        </w:rPr>
      </w:pPr>
    </w:p>
    <w:p w14:paraId="2A458AF3">
      <w:pPr>
        <w:spacing w:before="100" w:beforeLines="0" w:after="100" w:afterLines="0"/>
        <w:ind w:firstLine="482" w:firstLineChars="200"/>
        <w:jc w:val="left"/>
        <w:rPr>
          <w:rFonts w:hint="default" w:ascii="宋体" w:hAnsi="宋体" w:eastAsia="宋体"/>
          <w:color w:val="auto"/>
          <w:sz w:val="24"/>
          <w:szCs w:val="24"/>
          <w:lang w:val="en-US" w:eastAsia="zh-CN"/>
        </w:rPr>
      </w:pPr>
      <w:r>
        <w:rPr>
          <w:rFonts w:hint="eastAsia" w:ascii="宋体" w:hAnsi="宋体"/>
          <w:b/>
          <w:color w:val="auto"/>
          <w:sz w:val="24"/>
          <w:szCs w:val="24"/>
          <w:lang w:val="zh-CN"/>
        </w:rPr>
        <w:t>公用经费</w:t>
      </w:r>
      <w:r>
        <w:rPr>
          <w:rFonts w:hint="eastAsia" w:ascii="宋体" w:hAnsi="宋体"/>
          <w:color w:val="auto"/>
          <w:sz w:val="24"/>
          <w:szCs w:val="24"/>
          <w:lang w:val="zh-CN"/>
        </w:rPr>
        <w:t>0.00万元,较上年决算数减少0.0万元,下降%,主要原因是</w:t>
      </w:r>
      <w:r>
        <w:rPr>
          <w:rFonts w:hint="eastAsia" w:ascii="宋体" w:hAnsi="宋体"/>
          <w:color w:val="auto"/>
          <w:sz w:val="24"/>
          <w:szCs w:val="24"/>
          <w:lang w:val="en-US" w:eastAsia="zh-CN"/>
        </w:rPr>
        <w:t>乡镇卫生院本级预算不安排公用经费预算。</w:t>
      </w:r>
    </w:p>
    <w:p w14:paraId="0CB9960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6DBCBBD4">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本</w:t>
      </w:r>
      <w:r>
        <w:rPr>
          <w:rFonts w:hint="eastAsia" w:ascii="宋体" w:hAnsi="宋体"/>
          <w:color w:val="auto"/>
          <w:sz w:val="24"/>
          <w:szCs w:val="24"/>
          <w:lang w:val="en-US" w:eastAsia="zh-CN"/>
        </w:rPr>
        <w:t>单位</w:t>
      </w:r>
      <w:r>
        <w:rPr>
          <w:rFonts w:hint="eastAsia" w:ascii="宋体" w:hAnsi="宋体"/>
          <w:color w:val="auto"/>
          <w:sz w:val="24"/>
          <w:szCs w:val="24"/>
          <w:lang w:val="zh-CN"/>
        </w:rPr>
        <w:t>2023年度无政府性基金收入,也没有使用政府性基金安排的支出。</w:t>
      </w:r>
    </w:p>
    <w:p w14:paraId="57DD6E1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65BF4378">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本</w:t>
      </w:r>
      <w:r>
        <w:rPr>
          <w:rFonts w:hint="eastAsia" w:ascii="宋体" w:hAnsi="宋体"/>
          <w:color w:val="auto"/>
          <w:sz w:val="24"/>
          <w:szCs w:val="24"/>
          <w:lang w:val="en-US" w:eastAsia="zh-CN"/>
        </w:rPr>
        <w:t>单位</w:t>
      </w:r>
      <w:r>
        <w:rPr>
          <w:rFonts w:hint="eastAsia" w:ascii="宋体" w:hAnsi="宋体"/>
          <w:color w:val="auto"/>
          <w:sz w:val="24"/>
          <w:szCs w:val="24"/>
          <w:lang w:val="zh-CN"/>
        </w:rPr>
        <w:t>2023年度没有使用国有资本经营预算安排的支出。</w:t>
      </w:r>
    </w:p>
    <w:p w14:paraId="7FB7DA0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1366BC66">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我单位属于</w:t>
      </w:r>
      <w:r>
        <w:rPr>
          <w:rFonts w:hint="eastAsia" w:ascii="宋体" w:hAnsi="宋体"/>
          <w:color w:val="auto"/>
          <w:sz w:val="24"/>
          <w:szCs w:val="24"/>
          <w:lang w:val="en-US" w:eastAsia="zh-CN"/>
        </w:rPr>
        <w:t>经费差额保障单位</w:t>
      </w:r>
      <w:r>
        <w:rPr>
          <w:rFonts w:hint="eastAsia" w:ascii="宋体" w:hAnsi="宋体"/>
          <w:color w:val="auto"/>
          <w:sz w:val="24"/>
          <w:szCs w:val="24"/>
          <w:lang w:val="zh-CN"/>
        </w:rPr>
        <w:t>,财政未保障我单位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14:paraId="5D9A8AE9">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1CD280CA">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2BF81BB7">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250268D5">
      <w:pPr>
        <w:spacing w:before="100" w:beforeLines="0" w:after="100" w:afterLines="0"/>
        <w:ind w:firstLine="240" w:firstLineChars="1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39E48285">
      <w:pPr>
        <w:spacing w:before="100" w:beforeLines="0" w:after="100" w:afterLines="0"/>
        <w:ind w:firstLine="240" w:firstLineChars="1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66CA8ED2">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0E23AC8F">
      <w:pPr>
        <w:numPr>
          <w:ilvl w:val="0"/>
          <w:numId w:val="0"/>
        </w:numPr>
        <w:spacing w:before="100" w:beforeLines="0" w:after="100" w:afterLines="0"/>
        <w:ind w:firstLine="241" w:firstLineChars="100"/>
        <w:jc w:val="left"/>
        <w:rPr>
          <w:rFonts w:hint="default" w:ascii="宋体" w:hAnsi="宋体"/>
          <w:color w:val="FF0000"/>
          <w:sz w:val="24"/>
          <w:szCs w:val="24"/>
          <w:lang w:val="en-US" w:eastAsia="zh-CN"/>
        </w:rPr>
      </w:pPr>
      <w:r>
        <w:rPr>
          <w:rFonts w:hint="eastAsia" w:ascii="宋体" w:hAnsi="宋体"/>
          <w:b/>
          <w:color w:val="auto"/>
          <w:sz w:val="24"/>
          <w:szCs w:val="24"/>
          <w:lang w:val="en-US" w:eastAsia="zh-CN"/>
        </w:rPr>
        <w:t>3.</w:t>
      </w: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p>
    <w:p w14:paraId="4358D761">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15ED08D4">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团组,人；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color w:val="auto"/>
          <w:sz w:val="24"/>
          <w:szCs w:val="24"/>
          <w:lang w:val="zh-CN"/>
        </w:rPr>
        <w:t>批</w:t>
      </w:r>
      <w:r>
        <w:rPr>
          <w:rFonts w:hint="eastAsia" w:ascii="宋体" w:hAnsi="宋体"/>
          <w:color w:val="auto"/>
          <w:sz w:val="24"/>
          <w:szCs w:val="24"/>
          <w:lang w:val="en-US" w:eastAsia="zh-CN"/>
        </w:rPr>
        <w:t>0</w:t>
      </w:r>
      <w:r>
        <w:rPr>
          <w:rFonts w:hint="eastAsia" w:ascii="宋体" w:hAnsi="宋体"/>
          <w:color w:val="auto"/>
          <w:sz w:val="24"/>
          <w:szCs w:val="24"/>
          <w:lang w:val="zh-CN"/>
        </w:rPr>
        <w:t>次,人；</w:t>
      </w:r>
      <w:r>
        <w:rPr>
          <w:rFonts w:hint="eastAsia" w:ascii="宋体" w:hAnsi="宋体"/>
          <w:b/>
          <w:color w:val="auto"/>
          <w:sz w:val="24"/>
          <w:szCs w:val="24"/>
          <w:lang w:val="zh-CN"/>
        </w:rPr>
        <w:t>国(境)外公务接待</w:t>
      </w:r>
      <w:r>
        <w:rPr>
          <w:rFonts w:hint="eastAsia" w:ascii="宋体" w:hAnsi="宋体"/>
          <w:color w:val="auto"/>
          <w:sz w:val="24"/>
          <w:szCs w:val="24"/>
          <w:lang w:val="zh-CN"/>
        </w:rPr>
        <w:t>批</w:t>
      </w:r>
      <w:r>
        <w:rPr>
          <w:rFonts w:hint="eastAsia" w:ascii="宋体" w:hAnsi="宋体"/>
          <w:color w:val="auto"/>
          <w:sz w:val="24"/>
          <w:szCs w:val="24"/>
          <w:lang w:val="en-US" w:eastAsia="zh-CN"/>
        </w:rPr>
        <w:t>0</w:t>
      </w:r>
      <w:r>
        <w:rPr>
          <w:rFonts w:hint="eastAsia" w:ascii="宋体" w:hAnsi="宋体"/>
          <w:color w:val="auto"/>
          <w:sz w:val="24"/>
          <w:szCs w:val="24"/>
          <w:lang w:val="zh-CN"/>
        </w:rPr>
        <w:t>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4723613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6C455D28">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我单位2023年度无机关运行相关经费。</w:t>
      </w:r>
    </w:p>
    <w:p w14:paraId="22664E9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7EEFA332">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我单位2023年度无政府采购相关经费。</w:t>
      </w:r>
    </w:p>
    <w:p w14:paraId="106B7CC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7655BC16">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1辆,其中,副部(省)级及以上领导用车0辆、主要领导干部用车0辆、机要通信用车0辆、应急保障用车1辆、执法执勤用车0辆,特种专业技术用车0辆,离退休干部用车0辆,其他用车0辆,其他用车</w:t>
      </w:r>
      <w:r>
        <w:rPr>
          <w:rFonts w:hint="eastAsia" w:ascii="宋体" w:hAnsi="宋体"/>
          <w:color w:val="auto"/>
          <w:sz w:val="24"/>
          <w:szCs w:val="24"/>
          <w:lang w:val="en-US" w:eastAsia="zh-CN"/>
        </w:rPr>
        <w:t>0辆。</w:t>
      </w:r>
      <w:r>
        <w:rPr>
          <w:rFonts w:hint="eastAsia" w:ascii="宋体" w:hAnsi="宋体"/>
          <w:color w:val="auto"/>
          <w:sz w:val="24"/>
          <w:szCs w:val="24"/>
          <w:lang w:val="zh-CN"/>
        </w:rPr>
        <w:t>主要是用于</w:t>
      </w:r>
      <w:r>
        <w:rPr>
          <w:rFonts w:hint="eastAsia" w:ascii="宋体" w:hAnsi="宋体"/>
          <w:color w:val="auto"/>
          <w:sz w:val="24"/>
          <w:szCs w:val="24"/>
          <w:lang w:val="en-US" w:eastAsia="zh-CN"/>
        </w:rPr>
        <w:t>急诊病人的接送。</w:t>
      </w:r>
      <w:r>
        <w:rPr>
          <w:rFonts w:hint="eastAsia" w:ascii="宋体" w:hAnsi="宋体"/>
          <w:color w:val="auto"/>
          <w:sz w:val="24"/>
          <w:szCs w:val="24"/>
          <w:lang w:val="zh-CN"/>
        </w:rPr>
        <w:t>单价100万元(含)以上设备0台(套)。</w:t>
      </w:r>
    </w:p>
    <w:p w14:paraId="7CA614A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7B193016">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7DE0ACD6">
      <w:pPr>
        <w:spacing w:before="100" w:beforeLines="0" w:after="100" w:afterLines="0"/>
        <w:jc w:val="left"/>
        <w:rPr>
          <w:rFonts w:hint="eastAsia" w:ascii="宋体" w:hAnsi="宋体"/>
          <w:color w:val="FF0000"/>
          <w:sz w:val="24"/>
          <w:szCs w:val="24"/>
          <w:lang w:val="zh-CN"/>
        </w:rPr>
      </w:pPr>
    </w:p>
    <w:p w14:paraId="186EF739">
      <w:pPr>
        <w:spacing w:before="100" w:beforeLines="0" w:after="100" w:afterLines="0"/>
        <w:jc w:val="left"/>
        <w:rPr>
          <w:rFonts w:hint="eastAsia" w:ascii="宋体" w:hAnsi="宋体"/>
          <w:color w:val="auto"/>
          <w:sz w:val="24"/>
          <w:szCs w:val="24"/>
          <w:lang w:val="zh-CN"/>
        </w:rPr>
      </w:pPr>
    </w:p>
    <w:p w14:paraId="188010B0">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009FBB54">
      <w:pPr>
        <w:spacing w:before="100" w:beforeLines="0" w:after="100" w:afterLines="0"/>
        <w:ind w:firstLine="480" w:firstLineChars="200"/>
        <w:jc w:val="both"/>
        <w:rPr>
          <w:rFonts w:hint="eastAsia" w:ascii="宋体" w:hAnsi="宋体"/>
          <w:color w:val="auto"/>
          <w:sz w:val="24"/>
          <w:szCs w:val="24"/>
          <w:lang w:val="zh-CN"/>
        </w:rPr>
      </w:pPr>
      <w:r>
        <w:rPr>
          <w:rFonts w:hint="eastAsia" w:ascii="宋体" w:hAnsi="宋体"/>
          <w:color w:val="auto"/>
          <w:sz w:val="24"/>
          <w:szCs w:val="24"/>
          <w:lang w:val="zh-CN"/>
        </w:rPr>
        <w:t>本单位未开展预算绩效管理。</w:t>
      </w:r>
    </w:p>
    <w:p w14:paraId="5A9DD49F">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13EF756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1115D7C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05A7BD4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2C60E0C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68EA075D">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4EFF93A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1DBF609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12BFA3E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3A51F6A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501931D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487EEDE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13E9FF6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3B92EF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957D99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2F5E3D7C">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Y2M3NDA4YTkyN2QwZWY0NmUzMjhkNDE4Yjk4ZjUifQ=="/>
  </w:docVars>
  <w:rsids>
    <w:rsidRoot w:val="00000000"/>
    <w:rsid w:val="0C030754"/>
    <w:rsid w:val="20AA2E36"/>
    <w:rsid w:val="231D6704"/>
    <w:rsid w:val="52446209"/>
    <w:rsid w:val="6D846395"/>
    <w:rsid w:val="6DC359E0"/>
    <w:rsid w:val="753E34E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6.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9.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Props1.xml><?xml version="1.0" encoding="utf-8"?>
<ds:datastoreItem xmlns:ds="http://schemas.openxmlformats.org/officeDocument/2006/customXml" ds:itemID="{9a2f6e05-8ba9-4e14-97ca-f991fffd9404}">
  <ds:schemaRefs/>
</ds:datastoreItem>
</file>

<file path=customXml/itemProps2.xml><?xml version="1.0" encoding="utf-8"?>
<ds:datastoreItem xmlns:ds="http://schemas.openxmlformats.org/officeDocument/2006/customXml" ds:itemID="{fc05417a-c7e8-4515-80a2-e4d1992b55e0}">
  <ds:schemaRefs/>
</ds:datastoreItem>
</file>

<file path=customXml/itemProps3.xml><?xml version="1.0" encoding="utf-8"?>
<ds:datastoreItem xmlns:ds="http://schemas.openxmlformats.org/officeDocument/2006/customXml" ds:itemID="{d76cef0b-31f5-43e4-b9b2-bb5603c73fdb}">
  <ds:schemaRefs/>
</ds:datastoreItem>
</file>

<file path=customXml/itemProps4.xml><?xml version="1.0" encoding="utf-8"?>
<ds:datastoreItem xmlns:ds="http://schemas.openxmlformats.org/officeDocument/2006/customXml" ds:itemID="{11452075-8a53-4042-91ea-b58e1d674de7}">
  <ds:schemaRefs/>
</ds:datastoreItem>
</file>

<file path=customXml/itemProps5.xml><?xml version="1.0" encoding="utf-8"?>
<ds:datastoreItem xmlns:ds="http://schemas.openxmlformats.org/officeDocument/2006/customXml" ds:itemID="{b2a88817-39d1-4586-8c79-6aabe454f1f0}">
  <ds:schemaRefs/>
</ds:datastoreItem>
</file>

<file path=customXml/itemProps6.xml><?xml version="1.0" encoding="utf-8"?>
<ds:datastoreItem xmlns:ds="http://schemas.openxmlformats.org/officeDocument/2006/customXml" ds:itemID="{b3ca6f74-c4b2-466b-bce0-0176b424eff8}">
  <ds:schemaRefs/>
</ds:datastoreItem>
</file>

<file path=customXml/itemProps7.xml><?xml version="1.0" encoding="utf-8"?>
<ds:datastoreItem xmlns:ds="http://schemas.openxmlformats.org/officeDocument/2006/customXml" ds:itemID="{27ed269e-91da-4b44-9ad1-58ba065deb7d}">
  <ds:schemaRefs/>
</ds:datastoreItem>
</file>

<file path=customXml/itemProps8.xml><?xml version="1.0" encoding="utf-8"?>
<ds:datastoreItem xmlns:ds="http://schemas.openxmlformats.org/officeDocument/2006/customXml" ds:itemID="{613cf8f9-ab92-4a13-ade2-b3f6b5c1caaa}">
  <ds:schemaRefs/>
</ds:datastoreItem>
</file>

<file path=customXml/itemProps9.xml><?xml version="1.0" encoding="utf-8"?>
<ds:datastoreItem xmlns:ds="http://schemas.openxmlformats.org/officeDocument/2006/customXml" ds:itemID="{9ab40c5e-5ad0-4f03-860a-deed44f70646}">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3506</Words>
  <Characters>3874</Characters>
  <Lines>0</Lines>
  <Paragraphs>0</Paragraphs>
  <TotalTime>0</TotalTime>
  <ScaleCrop>false</ScaleCrop>
  <LinksUpToDate>false</LinksUpToDate>
  <CharactersWithSpaces>3878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2024-09-10T02:32:02Z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F4E4F513D64F44F4B09A85EFBE724ADD</vt:lpwstr>
  </property>
</Properties>
</file>