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东乡族自治县龙泉镇人民政府部门决算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1.宣传和贯彻执行党的路线方针政策和法律法规;制定地方经济社会发展规划和年度计划并组织实施;坚持依法行政,推进民主政治,加强基层政权建设做好农业、农村、农民和社区工作,推进乡村振兴。</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落实基层管党治党工作责任制,加强党员队伍的思想建设、组织建设、作风建设、制度建设和党风廉政建设;做好党员管理、发展工作,改善党员队伍结构,提高党员素质;加强党对意识形态和统一战线工作的领导;加强人民武装、民族宗教等工作;指导工会、共青团、妇联等群团工作</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3.规范经济管理,组织指导经济发展和经济结构调整;加强综合生产能力建设;健全社会化服务体系,完善产业支持保护体系,推进产业现代化;着力提升经济发展的质量和水平,发展壮大村级集体经济,增加村民收入,不断提高人民生活水平。</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4.加强社会管理和基础设施建设,创造良好环境;推进政务、村务公开;抓好卫生健康、人口计划生育工作,保障妇女儿童合法权益; 加强自然资源管理、生态环境保护和修复等工作;保障退役军人合法权益;强化安全生产和公共安全,组织抢险救灾、优抚救助,及时上报和处置重大社情、疫情、险情等,保护人民群众的生命命财产安全。</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5.发展公益事业,强化公共服务;加强公共设施建设,开展就业和社会保障服务,着力解决群众生产生活中的问题;发展科教文卫事业,建设健康农村,丰富农民群众文化生活,促进乡风文明;制定公共服务事项目录清单,加强公共服务体系建设。</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6.加强综合治理,维护社会稳定;强化民主法制宣传教育,畅通诉求渠道、调解民事纠纷、化解社会矛盾,处理群体性突发事件,保证社会公正,维护社会秩序和社会稳定;指导村民自治,推动基层社会建设,促进社会组织健康发展,增强社会自治功能。</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7.按照管理权限,负责机关和事业单位工作人员的教育、培养、选拔和监督工作; 协助管理好派驻单位人员。</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8.依法依规承担下放的经济社会管理权限和行政执法事项。</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9.法律、法规规定和县委、县政府交办的其他事项。</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10.职能转变。</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（1）加强基层党的建设。坚持党要管党、全面从严治党,切实加强党的政治建设、思想建设、组织建设、作风建设、纪律建设,把制度建设贯穿其中,深入推进反腐败斗争,推动全面从严治党向基层延伸。</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强化经济发展职能。正确处理好政府与市场、政府与社会的关系,规范市场秩序,为各类市场主体创造统一一开放、公平竞争的发展环境,激发市场、社会的创造活力。强化产业引导,科学编制发展规划,构建新型农业经营体系。落实强农惠农政策,推进扶贫开发,促进农民持续增收。</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(3)强化公共服务职能。加快义务教育、学前教育、劳动就业、基本医疗卫生、公共文化体育、卫生健康等社会事业发展,完善社会保险、社会救助、社会福利、优抚安置、扶贫济困。法律服务等社会保障体系。创新公共服务供给方式,优化基本公共服务资源配置,统筹基本公共服务设施的空间布局,实现基本公共服务全覆盖。</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(4)强化公共管理职能。加强乡村规划建设和生态环境保护,强化城镇和村容村貌管理。健全重大社情、疫情、险情等公共突发事件的预防和应急处理机制。推进平安建设,完善社会治安防控体系。加强信访工作,建立调处化解矛盾纠纷综合机制,确保城市、农村社会和谐稳定。</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(5)强化公共安全职能。加强安全生产、食品药品、生态建设、农产品质量安全等监督管理,建立健全隐患排查治理体系和安全预防控制体系。推进基层行政执法体系改革，完善执法保障机制，增强执法监管能力。</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党政机构：</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 xml:space="preserve">  1.   党政综合办公室；</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 xml:space="preserve">  2.   党建工作办公室；</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 xml:space="preserve">  3.   经济发展和社会事务办公室；</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 xml:space="preserve">  4.   社会治理和应急管理办公室；</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事业单位：</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 xml:space="preserve">  1.   农业农村综合服务中心；</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 xml:space="preserve">  2.   公共事务服务中心；</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 xml:space="preserve">  3.   政务（便民）服务中心；</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 xml:space="preserve">  4.   社会治安综合治理中心；</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 xml:space="preserve">  5.   综合行政执法队；</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收入支出决算总表（见附件）；</w:t>
      </w:r>
    </w:p>
    <w:p>
      <w:pPr>
        <w:numPr>
          <w:numId w:val="0"/>
        </w:numPr>
        <w:spacing w:before="100" w:beforeLines="0" w:after="100" w:afterLines="0"/>
        <w:jc w:val="left"/>
        <w:rPr>
          <w:rFonts w:hint="eastAsia" w:ascii="宋体" w:hAnsi="宋体"/>
          <w:color w:val="auto"/>
          <w:sz w:val="24"/>
          <w:szCs w:val="24"/>
          <w:lang w:val="zh-CN"/>
        </w:rPr>
      </w:pPr>
      <w:bookmarkStart w:id="0" w:name="_GoBack"/>
      <w:r>
        <w:rPr>
          <w:rFonts w:hint="eastAsia" w:ascii="宋体" w:hAnsi="宋体"/>
          <w:color w:val="auto"/>
          <w:sz w:val="24"/>
          <w:szCs w:val="24"/>
          <w:lang w:val="zh-CN"/>
        </w:rPr>
        <w:drawing>
          <wp:inline distT="0" distB="0" distL="114300" distR="114300">
            <wp:extent cx="5482590" cy="4326255"/>
            <wp:effectExtent l="0" t="0" r="3810" b="17145"/>
            <wp:docPr id="7" name="图片 7" descr="d05297b06f42143dec439fa982f9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05297b06f42143dec439fa982f9d7d"/>
                    <pic:cNvPicPr>
                      <a:picLocks noChangeAspect="1"/>
                    </pic:cNvPicPr>
                  </pic:nvPicPr>
                  <pic:blipFill>
                    <a:blip r:embed="rId4"/>
                    <a:stretch>
                      <a:fillRect/>
                    </a:stretch>
                  </pic:blipFill>
                  <pic:spPr>
                    <a:xfrm>
                      <a:off x="0" y="0"/>
                      <a:ext cx="5482590" cy="4326255"/>
                    </a:xfrm>
                    <a:prstGeom prst="rect">
                      <a:avLst/>
                    </a:prstGeom>
                  </pic:spPr>
                </pic:pic>
              </a:graphicData>
            </a:graphic>
          </wp:inline>
        </w:drawing>
      </w:r>
      <w:bookmarkEnd w:id="0"/>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收入决算表（见附件）；</w:t>
      </w:r>
    </w:p>
    <w:p>
      <w:pPr>
        <w:numPr>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78145" cy="2441575"/>
            <wp:effectExtent l="0" t="0" r="8255" b="15875"/>
            <wp:docPr id="2" name="图片 2" descr="61da865d4b1e1e213f53c90c74536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1da865d4b1e1e213f53c90c74536a5"/>
                    <pic:cNvPicPr>
                      <a:picLocks noChangeAspect="1"/>
                    </pic:cNvPicPr>
                  </pic:nvPicPr>
                  <pic:blipFill>
                    <a:blip r:embed="rId5"/>
                    <a:stretch>
                      <a:fillRect/>
                    </a:stretch>
                  </pic:blipFill>
                  <pic:spPr>
                    <a:xfrm>
                      <a:off x="0" y="0"/>
                      <a:ext cx="5478145" cy="2441575"/>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支出决算表（见附件）；</w:t>
      </w:r>
    </w:p>
    <w:p>
      <w:pPr>
        <w:numPr>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85765" cy="2724150"/>
            <wp:effectExtent l="0" t="0" r="635" b="0"/>
            <wp:docPr id="3" name="图片 3" descr="bdb72f65307a562a7ccb7994c0ce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db72f65307a562a7ccb7994c0ce504"/>
                    <pic:cNvPicPr>
                      <a:picLocks noChangeAspect="1"/>
                    </pic:cNvPicPr>
                  </pic:nvPicPr>
                  <pic:blipFill>
                    <a:blip r:embed="rId6"/>
                    <a:stretch>
                      <a:fillRect/>
                    </a:stretch>
                  </pic:blipFill>
                  <pic:spPr>
                    <a:xfrm>
                      <a:off x="0" y="0"/>
                      <a:ext cx="5485765" cy="2724150"/>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财政拨款收入支出决算总表（见附件）；</w:t>
      </w:r>
    </w:p>
    <w:p>
      <w:pPr>
        <w:numPr>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83225" cy="3863340"/>
            <wp:effectExtent l="0" t="0" r="3175" b="3810"/>
            <wp:docPr id="4" name="图片 4" descr="2ae7f5d5accbd6fe447635ff7038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ae7f5d5accbd6fe447635ff7038175"/>
                    <pic:cNvPicPr>
                      <a:picLocks noChangeAspect="1"/>
                    </pic:cNvPicPr>
                  </pic:nvPicPr>
                  <pic:blipFill>
                    <a:blip r:embed="rId7"/>
                    <a:stretch>
                      <a:fillRect/>
                    </a:stretch>
                  </pic:blipFill>
                  <pic:spPr>
                    <a:xfrm>
                      <a:off x="0" y="0"/>
                      <a:ext cx="5483225" cy="3863340"/>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p>
      <w:pPr>
        <w:numPr>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80685" cy="1626235"/>
            <wp:effectExtent l="0" t="0" r="5715" b="12065"/>
            <wp:docPr id="5" name="图片 5" descr="c5257693c4ed84af0a8d121da9770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5257693c4ed84af0a8d121da97702a"/>
                    <pic:cNvPicPr>
                      <a:picLocks noChangeAspect="1"/>
                    </pic:cNvPicPr>
                  </pic:nvPicPr>
                  <pic:blipFill>
                    <a:blip r:embed="rId8"/>
                    <a:stretch>
                      <a:fillRect/>
                    </a:stretch>
                  </pic:blipFill>
                  <pic:spPr>
                    <a:xfrm>
                      <a:off x="0" y="0"/>
                      <a:ext cx="5480685" cy="1626235"/>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一般公共预算财政拨款基本支出决算明细表（见附件）；</w:t>
      </w:r>
    </w:p>
    <w:p>
      <w:pPr>
        <w:numPr>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75605" cy="3028950"/>
            <wp:effectExtent l="0" t="0" r="10795" b="0"/>
            <wp:docPr id="6" name="图片 6" descr="433ee49f3fde44c2497382ca5e199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33ee49f3fde44c2497382ca5e199a6"/>
                    <pic:cNvPicPr>
                      <a:picLocks noChangeAspect="1"/>
                    </pic:cNvPicPr>
                  </pic:nvPicPr>
                  <pic:blipFill>
                    <a:blip r:embed="rId9"/>
                    <a:stretch>
                      <a:fillRect/>
                    </a:stretch>
                  </pic:blipFill>
                  <pic:spPr>
                    <a:xfrm>
                      <a:off x="0" y="0"/>
                      <a:ext cx="5475605" cy="3028950"/>
                    </a:xfrm>
                    <a:prstGeom prst="rect">
                      <a:avLst/>
                    </a:prstGeom>
                  </pic:spPr>
                </pic:pic>
              </a:graphicData>
            </a:graphic>
          </wp:inline>
        </w:drawing>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七、政府性基金预算财政拨款收入支出决算表（本表无数据）；</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八、国有资本经营预算财政拨款支出决算表（本表无数据）；</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经费支出决算表（本表无数据）；</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default" w:ascii="宋体" w:hAnsi="宋体" w:eastAsia="宋体"/>
          <w:color w:val="FF0000"/>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1495.70万元。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减少533.07万元,下降26.28%,</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项目资金减少。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2023年度收入合计1495.70万元,其中：财政拨款收入1474.70万元,占98.60%；</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收入0.00万元,占0.00%；</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收入21.00万元,占1.40%；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2023年度支出合计1495.70万元,其中：基本支出690.97万元,占46.20%；项目支出804.73万元,占53.80%；上缴上级支出0.00万元,占0.00%；经营支出0.00万元,占0.00%；对附属单位补助支出0.00万元,占0.00%。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1474.70万元。与</w:t>
      </w:r>
      <w:r>
        <w:rPr>
          <w:rFonts w:hint="eastAsia" w:ascii="宋体" w:hAnsi="宋体"/>
          <w:color w:val="auto"/>
          <w:sz w:val="24"/>
          <w:szCs w:val="24"/>
          <w:lang w:val="en-US"/>
        </w:rPr>
        <w:t>上</w:t>
      </w:r>
      <w:r>
        <w:rPr>
          <w:rFonts w:hint="eastAsia" w:ascii="宋体" w:hAnsi="宋体"/>
          <w:color w:val="auto"/>
          <w:sz w:val="24"/>
          <w:szCs w:val="24"/>
          <w:lang w:val="zh-CN"/>
        </w:rPr>
        <w:t>年相比,各减少204.76万元,下降12.19%。</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项目资金减少。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2023年度一般公共预算财政拨款支出1474.70万元,较上年决算数减少204.76万元,下降12.19%。</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项目资金减少。</w:t>
      </w:r>
    </w:p>
    <w:p>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1474.70万元，主要用于以下方面：一般公共服务支出1133.90万元,占76.89%；公共安全支出2.00万元,占0.14%；文化旅游体育与传媒支出2.00万元，占0.14%；社会保障和就业支出38.81万元,占2.63%；卫生健康支出25.72万元,占1.74%；农林水支出226.51万元,占15.36%；住房保障支出45.75万元,占3.1%；</w:t>
      </w:r>
    </w:p>
    <w:p>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1117.28万元,支出决算为1474.70万元,完成年初预算的131.99%。其中：</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年初预算数为660.47万元,支出决算为1133.90万元,完成年初预算的171.68%,决算数大于预算数的</w:t>
      </w:r>
      <w:r>
        <w:rPr>
          <w:rFonts w:hint="eastAsia" w:ascii="宋体" w:hAnsi="宋体"/>
          <w:color w:val="FF0000"/>
          <w:sz w:val="24"/>
          <w:szCs w:val="24"/>
          <w:lang w:val="zh-CN"/>
        </w:rPr>
        <w:t>主要原因是</w:t>
      </w:r>
      <w:r>
        <w:rPr>
          <w:rFonts w:hint="eastAsia" w:ascii="宋体" w:hAnsi="宋体"/>
          <w:color w:val="auto"/>
          <w:sz w:val="24"/>
          <w:szCs w:val="24"/>
          <w:lang w:val="zh-CN"/>
        </w:rPr>
        <w:t>年中公职人员、村社干部增加。</w:t>
      </w:r>
    </w:p>
    <w:p>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年初预算数为0.00万元,支出决算为2.00万元,完成年初预算的%,决算数大于预算数的</w:t>
      </w:r>
      <w:r>
        <w:rPr>
          <w:rFonts w:hint="eastAsia" w:ascii="宋体" w:hAnsi="宋体"/>
          <w:color w:val="FF0000"/>
          <w:sz w:val="24"/>
          <w:szCs w:val="24"/>
          <w:lang w:val="zh-CN"/>
        </w:rPr>
        <w:t>主要原因是</w:t>
      </w:r>
      <w:r>
        <w:rPr>
          <w:rFonts w:hint="eastAsia" w:ascii="宋体" w:hAnsi="宋体"/>
          <w:color w:val="auto"/>
          <w:sz w:val="24"/>
          <w:szCs w:val="24"/>
          <w:lang w:val="zh-CN"/>
        </w:rPr>
        <w:t>年中追加预算，举办文化体育活动</w:t>
      </w:r>
    </w:p>
    <w:p>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年初预算数为66.02万元,支出决算为38.81万元,完成年初预算的58.78%,决算数小于预算数的</w:t>
      </w:r>
      <w:r>
        <w:rPr>
          <w:rFonts w:hint="eastAsia" w:ascii="宋体" w:hAnsi="宋体"/>
          <w:color w:val="FF0000"/>
          <w:sz w:val="24"/>
          <w:szCs w:val="24"/>
          <w:lang w:val="zh-CN"/>
        </w:rPr>
        <w:t>主要原因是</w:t>
      </w:r>
      <w:r>
        <w:rPr>
          <w:rFonts w:hint="eastAsia" w:ascii="宋体" w:hAnsi="宋体"/>
          <w:color w:val="auto"/>
          <w:sz w:val="24"/>
          <w:szCs w:val="24"/>
          <w:lang w:val="zh-CN"/>
        </w:rPr>
        <w:t>年中享受公积金的公职人员离职换岗。</w:t>
      </w:r>
    </w:p>
    <w:p>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年初预算数为26.89万元,支出决算为25.72万元,完成年初预算的95.65%,决算数小于预算数的</w:t>
      </w:r>
      <w:r>
        <w:rPr>
          <w:rFonts w:hint="eastAsia" w:ascii="宋体" w:hAnsi="宋体"/>
          <w:color w:val="FF0000"/>
          <w:sz w:val="24"/>
          <w:szCs w:val="24"/>
          <w:lang w:val="zh-CN"/>
        </w:rPr>
        <w:t>主要原因是</w:t>
      </w:r>
      <w:r>
        <w:rPr>
          <w:rFonts w:hint="eastAsia" w:ascii="宋体" w:hAnsi="宋体"/>
          <w:color w:val="auto"/>
          <w:sz w:val="24"/>
          <w:szCs w:val="24"/>
          <w:lang w:val="zh-CN"/>
        </w:rPr>
        <w:t>是公职人员离职换岗随之医疗保险减少。</w:t>
      </w:r>
    </w:p>
    <w:p>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年初预算数为315.36万元,支出决算为226.51万元,完成年初预算的71.83%,决算数小于预算数的</w:t>
      </w:r>
      <w:r>
        <w:rPr>
          <w:rFonts w:hint="eastAsia" w:ascii="宋体" w:hAnsi="宋体"/>
          <w:color w:val="FF0000"/>
          <w:sz w:val="24"/>
          <w:szCs w:val="24"/>
          <w:lang w:val="zh-CN"/>
        </w:rPr>
        <w:t>主要原因是</w:t>
      </w:r>
      <w:r>
        <w:rPr>
          <w:rFonts w:hint="eastAsia" w:ascii="宋体" w:hAnsi="宋体"/>
          <w:color w:val="auto"/>
          <w:sz w:val="24"/>
          <w:szCs w:val="24"/>
          <w:lang w:val="zh-CN"/>
        </w:rPr>
        <w:t>村社干部数量配置不全</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6</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年初预算数为48.53万元,支出决算为45.75万元,完成年初预算的94.27%,决算数小于预算数的</w:t>
      </w:r>
      <w:r>
        <w:rPr>
          <w:rFonts w:hint="eastAsia" w:ascii="宋体" w:hAnsi="宋体"/>
          <w:color w:val="FF0000"/>
          <w:sz w:val="24"/>
          <w:szCs w:val="24"/>
          <w:lang w:val="zh-CN"/>
        </w:rPr>
        <w:t>主要原因是</w:t>
      </w:r>
      <w:r>
        <w:rPr>
          <w:rFonts w:hint="eastAsia" w:ascii="宋体" w:hAnsi="宋体"/>
          <w:color w:val="auto"/>
          <w:sz w:val="24"/>
          <w:szCs w:val="24"/>
          <w:lang w:val="zh-CN"/>
        </w:rPr>
        <w:t>享受公积金待遇人员离职换岗。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2023年度一般公共预算财政拨款基本支出690.97万元。其中：</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611.62万元,较上年决算数减少77.54万元,下降11.25%,</w:t>
      </w:r>
      <w:r>
        <w:rPr>
          <w:rFonts w:hint="eastAsia" w:ascii="宋体" w:hAnsi="宋体"/>
          <w:color w:val="FF0000"/>
          <w:sz w:val="24"/>
          <w:szCs w:val="24"/>
          <w:lang w:val="zh-CN"/>
        </w:rPr>
        <w:t>主要原因</w:t>
      </w:r>
      <w:r>
        <w:rPr>
          <w:rFonts w:hint="eastAsia" w:ascii="宋体" w:hAnsi="宋体"/>
          <w:color w:val="auto"/>
          <w:sz w:val="24"/>
          <w:szCs w:val="24"/>
          <w:lang w:val="zh-CN"/>
        </w:rPr>
        <w:t>公职人员</w:t>
      </w:r>
      <w:r>
        <w:rPr>
          <w:rFonts w:hint="eastAsia" w:ascii="宋体" w:hAnsi="宋体"/>
          <w:color w:val="auto"/>
          <w:sz w:val="24"/>
          <w:szCs w:val="24"/>
          <w:lang w:val="en-US" w:eastAsia="zh-CN"/>
        </w:rPr>
        <w:t>减少</w:t>
      </w:r>
      <w:r>
        <w:rPr>
          <w:rFonts w:hint="eastAsia" w:ascii="宋体" w:hAnsi="宋体"/>
          <w:color w:val="auto"/>
          <w:sz w:val="24"/>
          <w:szCs w:val="24"/>
          <w:lang w:val="zh-CN"/>
        </w:rPr>
        <w:t>。人员经费用途主要包括.基本工资、津贴补贴、奖金、社会保障缴费。</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79.35万元,较上年决算数减少157.72万元,下降66.53%,</w:t>
      </w:r>
      <w:r>
        <w:rPr>
          <w:rFonts w:hint="eastAsia" w:ascii="宋体" w:hAnsi="宋体"/>
          <w:color w:val="FF0000"/>
          <w:sz w:val="24"/>
          <w:szCs w:val="24"/>
          <w:lang w:val="zh-CN"/>
        </w:rPr>
        <w:t>主要原因是</w:t>
      </w:r>
      <w:r>
        <w:rPr>
          <w:rFonts w:hint="eastAsia" w:ascii="宋体" w:hAnsi="宋体"/>
          <w:color w:val="auto"/>
          <w:sz w:val="24"/>
          <w:szCs w:val="24"/>
          <w:lang w:val="zh-CN"/>
        </w:rPr>
        <w:t>预算减少。公用经费用途办公费、印刷费、咨询费、手续费。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本部门2023年度无政府性基金收入,也没有使用政府性基金安排的支出。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我单位未支出</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2023年度本部门机关运行经费支出79.35万元,机关运行经费</w:t>
      </w:r>
      <w:r>
        <w:rPr>
          <w:rFonts w:hint="eastAsia" w:ascii="宋体" w:hAnsi="宋体"/>
          <w:color w:val="FF0000"/>
          <w:sz w:val="24"/>
          <w:szCs w:val="24"/>
          <w:lang w:val="zh-CN"/>
        </w:rPr>
        <w:t>主要用于开支</w:t>
      </w:r>
      <w:r>
        <w:rPr>
          <w:rFonts w:hint="eastAsia" w:ascii="宋体" w:hAnsi="宋体"/>
          <w:color w:val="auto"/>
          <w:sz w:val="24"/>
          <w:szCs w:val="24"/>
          <w:lang w:val="zh-CN"/>
        </w:rPr>
        <w:t>电费、维修费、办公费。机关运行经费较上年决算数减少157.71万元,下降66.52%,</w:t>
      </w:r>
      <w:r>
        <w:rPr>
          <w:rFonts w:hint="eastAsia" w:ascii="宋体" w:hAnsi="宋体"/>
          <w:color w:val="FF0000"/>
          <w:sz w:val="24"/>
          <w:szCs w:val="24"/>
          <w:lang w:val="zh-CN"/>
        </w:rPr>
        <w:t>主要原因是</w:t>
      </w:r>
      <w:r>
        <w:rPr>
          <w:rFonts w:hint="eastAsia" w:ascii="宋体" w:hAnsi="宋体"/>
          <w:color w:val="auto"/>
          <w:sz w:val="24"/>
          <w:szCs w:val="24"/>
          <w:lang w:val="zh-CN"/>
        </w:rPr>
        <w:t>主要原因是办公设施设备购置经费减少、落实过紧日子要求压减办公费支出等，本年度培训费支出0.30万元,较上年决算数增加0.3万元,增长%,</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外出培训人员增加</w:t>
      </w:r>
      <w:r>
        <w:rPr>
          <w:rFonts w:hint="eastAsia" w:ascii="宋体" w:hAnsi="宋体"/>
          <w:color w:val="FF0000"/>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498.74万元,其中：政府采购货物支出498.74万元、政府采购工程支出0.00万元、政府采购服务支出0.00万元。授予中小企业合同金额498.74万元,占政府采购支出总额的100.00%,其中：授予小微企业合同金额498.74万元,占政府采购支出总额的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30辆,其中,副部(省)级及以上领导用车0辆、主要领导干部用车0辆、机要通信用车0辆、应急保障用车1辆、执法执勤用车0辆,特种专业技术用车1辆,离退休干部用车0辆,其他用车28辆,其他用车</w:t>
      </w:r>
      <w:r>
        <w:rPr>
          <w:rFonts w:hint="eastAsia" w:ascii="宋体" w:hAnsi="宋体"/>
          <w:color w:val="FF0000"/>
          <w:sz w:val="24"/>
          <w:szCs w:val="24"/>
          <w:lang w:val="zh-CN"/>
        </w:rPr>
        <w:t>主要是用于</w:t>
      </w:r>
      <w:r>
        <w:rPr>
          <w:rFonts w:hint="eastAsia" w:ascii="宋体" w:hAnsi="宋体"/>
          <w:color w:val="auto"/>
          <w:sz w:val="24"/>
          <w:szCs w:val="24"/>
          <w:lang w:val="zh-CN"/>
        </w:rPr>
        <w:t>主要是用于垃圾转运。单价100万元(含)以上设备0台(套)。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numPr>
          <w:ilvl w:val="0"/>
          <w:numId w:val="0"/>
        </w:numPr>
        <w:spacing w:before="100" w:beforeLines="0" w:after="100" w:afterLines="0"/>
        <w:jc w:val="both"/>
        <w:rPr>
          <w:rFonts w:hint="eastAsia" w:ascii="宋体" w:hAnsi="宋体"/>
          <w:b w:val="0"/>
          <w:bCs w:val="0"/>
          <w:color w:val="auto"/>
          <w:sz w:val="24"/>
          <w:szCs w:val="24"/>
          <w:lang w:val="zh-CN" w:eastAsia="zh-CN"/>
        </w:rPr>
      </w:pPr>
      <w:r>
        <w:rPr>
          <w:rFonts w:hint="eastAsia" w:ascii="宋体" w:hAnsi="宋体"/>
          <w:b w:val="0"/>
          <w:bCs w:val="0"/>
          <w:color w:val="auto"/>
          <w:sz w:val="24"/>
          <w:szCs w:val="24"/>
          <w:lang w:val="zh-CN" w:eastAsia="zh-CN"/>
        </w:rPr>
        <w:t>本单位未开展预算绩效管理。</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FF0000"/>
          <w:sz w:val="24"/>
          <w:szCs w:val="24"/>
          <w:lang w:val="zh-CN"/>
        </w:rPr>
        <w:t>以下为常见专业名词解释目录,仅供参考,部门应根据实际情况进行解释和增减。比如可将类级功能科目和经济科目细化解释到项级。若有删减注意调整段落序号。</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2F24F"/>
    <w:multiLevelType w:val="singleLevel"/>
    <w:tmpl w:val="E5B2F24F"/>
    <w:lvl w:ilvl="0" w:tentative="0">
      <w:start w:val="1"/>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TA4ZTU1NmRlMTc4MTgyNzg1ZDAzMWI0OTI2OTkifQ=="/>
    <w:docVar w:name="KSO_WPS_MARK_KEY" w:val="7f4f7dd8-7a13-4385-aaa9-41a58ef6546b"/>
  </w:docVars>
  <w:rsids>
    <w:rsidRoot w:val="00000000"/>
    <w:rsid w:val="3DA07307"/>
    <w:rsid w:val="69030FBF"/>
    <w:rsid w:val="7345399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Props1.xml><?xml version="1.0" encoding="utf-8"?>
<ds:datastoreItem xmlns:ds="http://schemas.openxmlformats.org/officeDocument/2006/customXml" ds:itemID="{09ed4044-842f-471e-955b-67df59c93e30}">
  <ds:schemaRefs/>
</ds:datastoreItem>
</file>

<file path=customXml/itemProps2.xml><?xml version="1.0" encoding="utf-8"?>
<ds:datastoreItem xmlns:ds="http://schemas.openxmlformats.org/officeDocument/2006/customXml" ds:itemID="{90967238-f661-4d8d-887b-2b2094336c0e}">
  <ds:schemaRefs/>
</ds:datastoreItem>
</file>

<file path=customXml/itemProps3.xml><?xml version="1.0" encoding="utf-8"?>
<ds:datastoreItem xmlns:ds="http://schemas.openxmlformats.org/officeDocument/2006/customXml" ds:itemID="{84373563-dea7-4812-9a3c-57d603dc52d7}">
  <ds:schemaRefs/>
</ds:datastoreItem>
</file>

<file path=customXml/itemProps4.xml><?xml version="1.0" encoding="utf-8"?>
<ds:datastoreItem xmlns:ds="http://schemas.openxmlformats.org/officeDocument/2006/customXml" ds:itemID="{ef60dbc3-533f-4c60-a197-63fb332ffb1d}">
  <ds:schemaRefs/>
</ds:datastoreItem>
</file>

<file path=customXml/itemProps5.xml><?xml version="1.0" encoding="utf-8"?>
<ds:datastoreItem xmlns:ds="http://schemas.openxmlformats.org/officeDocument/2006/customXml" ds:itemID="{c72351a1-4776-4f48-bb6c-73ca3ed082cc}">
  <ds:schemaRefs/>
</ds:datastoreItem>
</file>

<file path=customXml/itemProps6.xml><?xml version="1.0" encoding="utf-8"?>
<ds:datastoreItem xmlns:ds="http://schemas.openxmlformats.org/officeDocument/2006/customXml" ds:itemID="{e9f8efd1-d6a0-4160-a6a5-a874b80f1cd4}">
  <ds:schemaRefs/>
</ds:datastoreItem>
</file>

<file path=customXml/itemProps7.xml><?xml version="1.0" encoding="utf-8"?>
<ds:datastoreItem xmlns:ds="http://schemas.openxmlformats.org/officeDocument/2006/customXml" ds:itemID="{86721e96-6df3-4d1e-b443-8657a1618f4a}">
  <ds:schemaRefs/>
</ds:datastoreItem>
</file>

<file path=customXml/itemProps8.xml><?xml version="1.0" encoding="utf-8"?>
<ds:datastoreItem xmlns:ds="http://schemas.openxmlformats.org/officeDocument/2006/customXml" ds:itemID="{3b29ff12-a5a2-4b1f-89bd-f9281ecbc551}">
  <ds:schemaRefs/>
</ds:datastoreItem>
</file>

<file path=customXml/itemProps9.xml><?xml version="1.0" encoding="utf-8"?>
<ds:datastoreItem xmlns:ds="http://schemas.openxmlformats.org/officeDocument/2006/customXml" ds:itemID="{df6fbc27-2aec-4127-8de9-b79499666cb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5004</Words>
  <Characters>5501</Characters>
  <Lines>0</Lines>
  <Paragraphs>0</Paragraphs>
  <TotalTime>5</TotalTime>
  <ScaleCrop>false</ScaleCrop>
  <LinksUpToDate>false</LinksUpToDate>
  <CharactersWithSpaces>5552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123456</cp:lastModifiedBy>
  <dcterms:modified xsi:type="dcterms:W3CDTF">2024-09-06T09:14:21Z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E4816777E39848E29210893E7C70AFE9</vt:lpwstr>
  </property>
</Properties>
</file>