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中共东乡族自治县委员会直属机关工作委员会部门决算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theme="minorBidi"/>
          <w:color w:val="auto"/>
          <w:kern w:val="2"/>
          <w:sz w:val="24"/>
          <w:szCs w:val="24"/>
          <w:u w:val="none"/>
          <w:shd w:val="clear"/>
          <w:lang w:val="zh-CN"/>
        </w:rPr>
      </w:pPr>
      <w:r>
        <w:rPr>
          <w:rFonts w:hint="eastAsia" w:ascii="宋体" w:hAnsi="宋体" w:eastAsia="宋体" w:cstheme="minorBidi"/>
          <w:color w:val="auto"/>
          <w:kern w:val="2"/>
          <w:sz w:val="24"/>
          <w:szCs w:val="24"/>
          <w:u w:val="none"/>
          <w:shd w:val="clear"/>
          <w:lang w:val="zh-CN"/>
        </w:rPr>
        <w:t>（一）领导和管理县直机关党的工作，制定县直机关党的建设规划，分类指导县直机关各部门机关</w:t>
      </w:r>
      <w:r>
        <w:rPr>
          <w:rFonts w:hint="eastAsia" w:ascii="宋体" w:hAnsi="宋体" w:eastAsia="宋体" w:cstheme="minorBidi"/>
          <w:color w:val="auto"/>
          <w:kern w:val="2"/>
          <w:sz w:val="24"/>
          <w:szCs w:val="24"/>
          <w:u w:val="none"/>
          <w:shd w:val="clear"/>
          <w:lang w:val="zh-CN" w:eastAsia="zh-CN"/>
        </w:rPr>
        <w:t>、</w:t>
      </w:r>
      <w:r>
        <w:rPr>
          <w:rFonts w:hint="eastAsia" w:ascii="宋体" w:hAnsi="宋体" w:eastAsia="宋体" w:cstheme="minorBidi"/>
          <w:color w:val="auto"/>
          <w:kern w:val="2"/>
          <w:sz w:val="24"/>
          <w:szCs w:val="24"/>
          <w:u w:val="none"/>
          <w:shd w:val="clear"/>
          <w:lang w:val="zh-CN"/>
        </w:rPr>
        <w:t>事业单位党的建设。</w:t>
      </w:r>
    </w:p>
    <w:p>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theme="minorBidi"/>
          <w:color w:val="auto"/>
          <w:kern w:val="2"/>
          <w:sz w:val="24"/>
          <w:szCs w:val="24"/>
          <w:u w:val="none"/>
          <w:shd w:val="clear"/>
          <w:lang w:val="zh-CN"/>
        </w:rPr>
      </w:pPr>
      <w:r>
        <w:rPr>
          <w:rFonts w:hint="eastAsia" w:ascii="宋体" w:hAnsi="宋体" w:eastAsia="宋体" w:cstheme="minorBidi"/>
          <w:color w:val="auto"/>
          <w:kern w:val="2"/>
          <w:sz w:val="24"/>
          <w:szCs w:val="24"/>
          <w:u w:val="none"/>
          <w:shd w:val="clear"/>
          <w:lang w:val="zh-CN"/>
        </w:rPr>
        <w:t>（二）指导县直机</w:t>
      </w:r>
      <w:r>
        <w:rPr>
          <w:rFonts w:hint="eastAsia" w:ascii="宋体" w:hAnsi="宋体" w:eastAsia="宋体" w:cstheme="minorBidi"/>
          <w:color w:val="auto"/>
          <w:kern w:val="2"/>
          <w:sz w:val="24"/>
          <w:szCs w:val="24"/>
          <w:u w:val="none"/>
          <w:shd w:val="clear"/>
          <w:lang w:val="zh-CN" w:eastAsia="zh-CN"/>
        </w:rPr>
        <w:t>关</w:t>
      </w:r>
      <w:r>
        <w:rPr>
          <w:rFonts w:hint="eastAsia" w:ascii="宋体" w:hAnsi="宋体" w:eastAsia="宋体" w:cstheme="minorBidi"/>
          <w:color w:val="auto"/>
          <w:kern w:val="2"/>
          <w:sz w:val="24"/>
          <w:szCs w:val="24"/>
          <w:u w:val="none"/>
          <w:shd w:val="clear"/>
          <w:lang w:val="zh-CN"/>
        </w:rPr>
        <w:t>各党组织抓好党的组织建设和思想建设，广大党员的理论学习，做好党员管理教育和党的发展工作，负责县直各单位党组织（总支 、支部）的组织建设，改选及书记、副书记的任免、考核；审批各总支部，支部的党员发展工作。</w:t>
      </w:r>
    </w:p>
    <w:p>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theme="minorBidi"/>
          <w:color w:val="auto"/>
          <w:kern w:val="2"/>
          <w:sz w:val="24"/>
          <w:szCs w:val="24"/>
          <w:u w:val="none"/>
          <w:shd w:val="clear"/>
          <w:lang w:val="zh-CN"/>
        </w:rPr>
      </w:pPr>
      <w:r>
        <w:rPr>
          <w:rFonts w:hint="eastAsia" w:ascii="宋体" w:hAnsi="宋体" w:eastAsia="宋体" w:cstheme="minorBidi"/>
          <w:color w:val="auto"/>
          <w:kern w:val="2"/>
          <w:sz w:val="24"/>
          <w:szCs w:val="24"/>
          <w:u w:val="none"/>
          <w:shd w:val="clear"/>
          <w:lang w:val="zh-CN"/>
        </w:rPr>
        <w:t>（三）负责指导县直机关各党支部的党务工作。</w:t>
      </w:r>
    </w:p>
    <w:p>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theme="minorBidi"/>
          <w:color w:val="auto"/>
          <w:kern w:val="2"/>
          <w:sz w:val="24"/>
          <w:szCs w:val="24"/>
          <w:u w:val="none"/>
          <w:shd w:val="clear"/>
          <w:lang w:val="zh-CN"/>
        </w:rPr>
      </w:pPr>
      <w:r>
        <w:rPr>
          <w:rFonts w:hint="eastAsia" w:ascii="宋体" w:hAnsi="宋体" w:eastAsia="宋体" w:cstheme="minorBidi"/>
          <w:color w:val="auto"/>
          <w:kern w:val="2"/>
          <w:sz w:val="24"/>
          <w:szCs w:val="24"/>
          <w:u w:val="none"/>
          <w:shd w:val="clear"/>
          <w:lang w:val="zh-CN"/>
        </w:rPr>
        <w:t>（四）指导机关和直属单位党组织加强党风廉政建设，实施对党员特别是党员领导干部的监督，及时向县委反映部门和直属单位领导班子和领导干部的情况。</w:t>
      </w:r>
    </w:p>
    <w:p>
      <w:pPr>
        <w:numPr>
          <w:numId w:val="0"/>
        </w:num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stheme="minorBidi"/>
          <w:color w:val="auto"/>
          <w:kern w:val="2"/>
          <w:sz w:val="24"/>
          <w:szCs w:val="24"/>
          <w:u w:val="none"/>
          <w:shd w:val="clear"/>
          <w:lang w:val="zh-CN"/>
        </w:rPr>
        <w:t>(五)承办县委交办的其他任务。</w:t>
      </w:r>
      <w:r>
        <w:rPr>
          <w:rFonts w:hint="eastAsia" w:ascii="宋体" w:hAnsi="宋体"/>
          <w:color w:val="auto"/>
          <w:sz w:val="24"/>
          <w:szCs w:val="24"/>
          <w:lang w:val="en-US" w:eastAsia="zh-CN"/>
        </w:rPr>
        <w:t xml:space="preserve"> </w:t>
      </w:r>
    </w:p>
    <w:p>
      <w:pPr>
        <w:spacing w:before="100" w:beforeLines="0" w:after="100" w:afterLines="0"/>
        <w:jc w:val="left"/>
        <w:rPr>
          <w:rFonts w:hint="eastAsia" w:ascii="宋体" w:hAnsi="宋体" w:eastAsia="宋体" w:cstheme="minorBidi"/>
          <w:color w:val="auto"/>
          <w:kern w:val="2"/>
          <w:sz w:val="24"/>
          <w:szCs w:val="24"/>
          <w:u w:val="none"/>
          <w:shd w:val="clear" w:color="auto" w:fill="auto"/>
          <w:lang w:val="zh-CN" w:eastAsia="zh-TW" w:bidi="zh-TW"/>
        </w:rPr>
      </w:pPr>
      <w:r>
        <w:rPr>
          <w:rFonts w:hint="eastAsia" w:ascii="宋体" w:hAnsi="宋体"/>
          <w:color w:val="auto"/>
          <w:sz w:val="24"/>
          <w:szCs w:val="24"/>
          <w:lang w:val="zh-CN"/>
        </w:rPr>
        <w:t>二、</w:t>
      </w:r>
      <w:r>
        <w:rPr>
          <w:rFonts w:hint="eastAsia" w:ascii="宋体" w:hAnsi="宋体" w:eastAsia="宋体" w:cstheme="minorBidi"/>
          <w:color w:val="auto"/>
          <w:kern w:val="2"/>
          <w:sz w:val="24"/>
          <w:szCs w:val="24"/>
          <w:u w:val="none"/>
          <w:shd w:val="clear" w:color="auto" w:fill="auto"/>
          <w:lang w:val="zh-CN" w:eastAsia="zh-TW" w:bidi="zh-TW"/>
        </w:rPr>
        <w:t>机构设置</w:t>
      </w:r>
    </w:p>
    <w:p>
      <w:pPr>
        <w:spacing w:before="100" w:beforeLines="0" w:after="100" w:afterLines="0"/>
        <w:ind w:firstLine="480"/>
        <w:jc w:val="left"/>
        <w:rPr>
          <w:rFonts w:hint="eastAsia" w:ascii="宋体" w:hAnsi="宋体" w:eastAsia="宋体" w:cstheme="minorBidi"/>
          <w:color w:val="auto"/>
          <w:kern w:val="2"/>
          <w:sz w:val="24"/>
          <w:szCs w:val="24"/>
          <w:u w:val="none"/>
          <w:shd w:val="clear" w:color="auto" w:fill="auto"/>
          <w:lang w:val="zh-CN" w:eastAsia="zh-TW" w:bidi="zh-TW"/>
        </w:rPr>
      </w:pPr>
      <w:r>
        <w:rPr>
          <w:rFonts w:hint="eastAsia" w:ascii="宋体" w:hAnsi="宋体" w:eastAsia="宋体" w:cstheme="minorBidi"/>
          <w:color w:val="auto"/>
          <w:kern w:val="2"/>
          <w:sz w:val="24"/>
          <w:szCs w:val="24"/>
          <w:u w:val="none"/>
          <w:shd w:val="clear" w:color="auto" w:fill="auto"/>
          <w:lang w:val="zh-CN" w:eastAsia="zh-TW" w:bidi="zh-TW"/>
        </w:rPr>
        <w:t>县直机关工委行政编制6名，工勤1名，所属事业单位东乡族自治县县直机关工委电教中心，正股级事业单位，核定事业编制6名。</w:t>
      </w:r>
    </w:p>
    <w:p>
      <w:pPr>
        <w:spacing w:before="100" w:beforeLines="0" w:after="100" w:afterLines="0"/>
        <w:ind w:firstLine="48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185.37万元。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减少5.78万元,下降3.02%,主要原因是人员减少。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2023年度收入合计185.37万元,其中：财政拨款收入185.37万元,占100.00%；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2023年度支出合计185.37万元,其中：基本支出175.04万元,占94.43%；项目支出10.33万元,占5.57%；</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185.37万元。与</w:t>
      </w:r>
      <w:r>
        <w:rPr>
          <w:rFonts w:hint="eastAsia" w:ascii="宋体" w:hAnsi="宋体"/>
          <w:color w:val="auto"/>
          <w:sz w:val="24"/>
          <w:szCs w:val="24"/>
          <w:lang w:val="en-US"/>
        </w:rPr>
        <w:t>上</w:t>
      </w:r>
      <w:r>
        <w:rPr>
          <w:rFonts w:hint="eastAsia" w:ascii="宋体" w:hAnsi="宋体"/>
          <w:color w:val="auto"/>
          <w:sz w:val="24"/>
          <w:szCs w:val="24"/>
          <w:lang w:val="zh-CN"/>
        </w:rPr>
        <w:t>年相比,各减少5.78万元,下降3.02%。主要原因是人员减少。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2023年度一般公共预算财政拨款支出185.37万元,较上年决算数减少5.78万元,下降3.02%。主要原因是人员减少。</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185.37万元，主要用于以下方面：一般公共服务支出145.64万元,占78.56%；社会保障和就业支出17.04万元,占9.19%；卫生健康支出6.54万元,占3.53%；农林水支出4.40万元,占2.37%；住房保障支出11.75万元,占6.34%；</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178.97万元,支出决算为185.37万元,完成年初预算的103.58%。其中：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年初预算数为142.83万元,支出决算为145.64万元,完成年初预算的101.96%,决算数大于预算数的工会配套资金增加。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年初预算数为17.19万元,支出决算为17.04万元,完成年初预算的99.13%,决算数小于预算数的主要原因是人员减少。</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年初预算数为6.75万元,支出决算为6.54万元,完成年初预算的96.93%,决算数小于预算数的主要原因是人员减少。</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年初预算数为12.20万元,支出决算为11.75万元,完成年初预算的96.33%,决算数小于预算数的主要原因是人员减少。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2023年度一般公共预算财政拨款基本支出175.04万元。其中：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159.61万元,较上年决算数减少14.98万元,下降8.58%,主要原因是人员减少。人员经费用途人员经费用途主要包括基本工资、津贴补贴、奖金、社会保障缴费、住房公积金、驻村生活补助等。</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15.44万元,较上年决算数减少1.12万元,下降6.81%,主要原因是人员减少。公用经费用途主要包括商品和服务、办公费、印刷费、水电费、工会经费、差旅费。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eastAsia="宋体"/>
          <w:color w:val="auto"/>
          <w:sz w:val="24"/>
          <w:szCs w:val="24"/>
          <w:lang w:val="zh-CN"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spacing w:before="100" w:beforeLines="0" w:after="100" w:afterLines="0"/>
        <w:jc w:val="left"/>
        <w:rPr>
          <w:rFonts w:hint="eastAsia" w:ascii="宋体" w:hAnsi="宋体" w:eastAsia="宋体"/>
          <w:color w:val="auto"/>
          <w:sz w:val="24"/>
          <w:szCs w:val="24"/>
          <w:lang w:val="zh-CN"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eastAsia="zh-CN"/>
        </w:rPr>
        <w:t>.</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eastAsia="zh-CN"/>
        </w:rPr>
        <w:t>.</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本部门机关运行经费支出15.44万元,机关运行经费主要用于开支办公费元、印刷费、电费、邮电费、差旅费、工会经费、其他交通费用。机关运行经费较上年决算数减少1.13万元,下降6.82%,主要原因是人员减少。主要原因是人员减少。本年度会议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%。本年度培训费支出0.00万元,较上年决算数减少0.0万元,下降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w:t>
      </w:r>
      <w:r>
        <w:rPr>
          <w:rFonts w:hint="eastAsia" w:ascii="宋体" w:hAnsi="宋体"/>
          <w:color w:val="auto"/>
          <w:sz w:val="24"/>
          <w:szCs w:val="24"/>
          <w:lang w:val="en-US" w:eastAsia="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0.21万元,其中：政府采购货物支出0.21万元、政府采购工程支出0.00万元、政府采购服务支出0.00万元。授予中小企业合同金额0.21万元,占政府采购支出总额的100.00%,其中：授予小微企业合同金额0.21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年度一般公共预算项目支出全面开展绩效自评,其中,一级项目</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个,二级项目</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个,共涉及资金</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个政府性基金预算项目开展绩效自评,共涉及资金</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,占政府性基金预算项目支出总额的</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%。组织对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个国有资本经营预算项目开展绩效自评,共涉及资金</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,占国有资本经营预算项目支出总额的</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%。组织对</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个项目开展了部门评价,涉及一般公共预算支出</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,政府性基金预算支出</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,国有资本经营预算支出</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我部门在</w:t>
      </w:r>
      <w:r>
        <w:rPr>
          <w:rFonts w:hint="eastAsia" w:ascii="宋体" w:hAnsi="宋体" w:eastAsia="宋体" w:cs="宋体"/>
          <w:color w:val="auto"/>
          <w:kern w:val="0"/>
          <w:sz w:val="24"/>
          <w:szCs w:val="24"/>
          <w:highlight w:val="none"/>
          <w:lang w:val="en-US" w:eastAsia="zh-CN"/>
        </w:rPr>
        <w:t>2023</w:t>
      </w:r>
      <w:r>
        <w:rPr>
          <w:rFonts w:hint="eastAsia" w:ascii="宋体" w:hAnsi="宋体" w:eastAsia="宋体" w:cs="宋体"/>
          <w:color w:val="auto"/>
          <w:kern w:val="0"/>
          <w:sz w:val="24"/>
          <w:szCs w:val="24"/>
          <w:highlight w:val="none"/>
          <w:lang w:val="en-US"/>
        </w:rPr>
        <w:t>年度部门决算中反映</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rPr>
        <w:t>个项目绩效自评结果。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本单位无绩效评价。</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bookmarkStart w:id="0" w:name="_GoBack"/>
      <w:bookmarkEnd w:id="0"/>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3">
    <w:nsid w:val="679BEA49"/>
    <w:multiLevelType w:val="singleLevel"/>
    <w:tmpl w:val="679BEA4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2MzYWE5NmQ5YmIwYTAyOTJiZjZmZmU5NjBiOTEifQ=="/>
  </w:docVars>
  <w:rsids>
    <w:rsidRoot w:val="00000000"/>
    <w:rsid w:val="4992278C"/>
    <w:rsid w:val="7A732E9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c82950ad-bfc1-47c8-b093-1d39da21bb0b}">
  <ds:schemaRefs/>
</ds:datastoreItem>
</file>

<file path=customXml/itemProps2.xml><?xml version="1.0" encoding="utf-8"?>
<ds:datastoreItem xmlns:ds="http://schemas.openxmlformats.org/officeDocument/2006/customXml" ds:itemID="{6e726d8f-bd22-46f3-837f-7841d780d7fc}">
  <ds:schemaRefs/>
</ds:datastoreItem>
</file>

<file path=customXml/itemProps3.xml><?xml version="1.0" encoding="utf-8"?>
<ds:datastoreItem xmlns:ds="http://schemas.openxmlformats.org/officeDocument/2006/customXml" ds:itemID="{feef939f-ee9d-440b-bbad-a2ba0439a54c}">
  <ds:schemaRefs/>
</ds:datastoreItem>
</file>

<file path=customXml/itemProps4.xml><?xml version="1.0" encoding="utf-8"?>
<ds:datastoreItem xmlns:ds="http://schemas.openxmlformats.org/officeDocument/2006/customXml" ds:itemID="{23c7d22b-8c04-4582-829f-674b7b2ded0f}">
  <ds:schemaRefs/>
</ds:datastoreItem>
</file>

<file path=customXml/itemProps5.xml><?xml version="1.0" encoding="utf-8"?>
<ds:datastoreItem xmlns:ds="http://schemas.openxmlformats.org/officeDocument/2006/customXml" ds:itemID="{f4dcd6a2-b77b-4cd0-80dd-49ac7d29feb7}">
  <ds:schemaRefs/>
</ds:datastoreItem>
</file>

<file path=customXml/itemProps6.xml><?xml version="1.0" encoding="utf-8"?>
<ds:datastoreItem xmlns:ds="http://schemas.openxmlformats.org/officeDocument/2006/customXml" ds:itemID="{3d7148c4-5fda-4ba7-9b0b-1b918a6b92f1}">
  <ds:schemaRefs/>
</ds:datastoreItem>
</file>

<file path=customXml/itemProps7.xml><?xml version="1.0" encoding="utf-8"?>
<ds:datastoreItem xmlns:ds="http://schemas.openxmlformats.org/officeDocument/2006/customXml" ds:itemID="{e2814e87-e58b-4c05-aa43-2ce459ee2ff1}">
  <ds:schemaRefs/>
</ds:datastoreItem>
</file>

<file path=customXml/itemProps8.xml><?xml version="1.0" encoding="utf-8"?>
<ds:datastoreItem xmlns:ds="http://schemas.openxmlformats.org/officeDocument/2006/customXml" ds:itemID="{f3057855-b1cc-4fbe-a1e4-8564de6e936c}">
  <ds:schemaRefs/>
</ds:datastoreItem>
</file>

<file path=customXml/itemProps9.xml><?xml version="1.0" encoding="utf-8"?>
<ds:datastoreItem xmlns:ds="http://schemas.openxmlformats.org/officeDocument/2006/customXml" ds:itemID="{34605fba-b8fb-41f7-ba95-cd29ab30520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7296</Words>
  <Characters>8464</Characters>
  <Lines>0</Lines>
  <Paragraphs>0</Paragraphs>
  <TotalTime>12</TotalTime>
  <ScaleCrop>false</ScaleCrop>
  <LinksUpToDate>false</LinksUpToDate>
  <CharactersWithSpaces>8468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2024-09-09T03:05:50Z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5AB99F6C0E3D42C38E8CBBE486164173</vt:lpwstr>
  </property>
</Properties>
</file>