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中共临夏州东乡族自治县县委政法委部门决算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line="640" w:lineRule="exact"/>
        <w:ind w:left="640"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主要职责是：（一）指导和协调全县政法工作、社会治安综合治理、维护社会稳定、禁毒、国家安全和防范邪教工作。（二）研究协调有争议的重大疑难案件。（三）组织政法部门调查研究。（四）加强政法队伍建设和情报信息工作。（五）检查指导政法各部门执行国家法律法规和党的路线、方针、政策的情况。（六）对一定时期内全县政法各项工作及时作出全局性部署。</w:t>
      </w:r>
    </w:p>
    <w:p>
      <w:pPr>
        <w:spacing w:before="100" w:beforeLines="0" w:after="100" w:afterLine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二、机构设置</w:t>
      </w:r>
    </w:p>
    <w:p>
      <w:pPr>
        <w:pStyle w:val="5"/>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200" w:right="0" w:rightChars="0" w:firstLine="720" w:firstLineChars="300"/>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东乡县委政法委员会内设及归口管理机构有</w:t>
      </w:r>
      <w:r>
        <w:rPr>
          <w:rFonts w:hint="eastAsia" w:ascii="宋体" w:hAnsi="宋体" w:eastAsia="宋体" w:cs="宋体"/>
          <w:b w:val="0"/>
          <w:bCs w:val="0"/>
          <w:color w:val="000000" w:themeColor="text1"/>
          <w:sz w:val="24"/>
          <w:szCs w:val="24"/>
          <w:lang w:eastAsia="zh-CN"/>
          <w14:textFill>
            <w14:solidFill>
              <w14:schemeClr w14:val="tx1"/>
            </w14:solidFill>
          </w14:textFill>
        </w:rPr>
        <w:t>信息中心、国安办、平安办、综合办公室、维稳防邪工作室、综治中心。</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(详见附件。)</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415.34万元。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减少29.84万元,下降6.7%,</w:t>
      </w:r>
      <w:r>
        <w:rPr>
          <w:rFonts w:hint="eastAsia" w:ascii="宋体" w:hAnsi="宋体"/>
          <w:color w:val="FF0000"/>
          <w:sz w:val="24"/>
          <w:szCs w:val="24"/>
          <w:lang w:val="zh-CN"/>
        </w:rPr>
        <w:t>主要原因是运转经费减少。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2023年度收入合计412.65万元,其中：财政拨款收入396.52万元,占96.09%；</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收入16.14万元,占3.91%；</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2023年度支出合计390.60万元,其中：基本支出322.87万元,占82.66%；项目支出67.73万元,占17.34%；上缴上级支出0.00万元,占0.00%；经营支出0.00万元,占0.00%；对附属单位补助支出0.00万元,占0.00%。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399.20万元。与</w:t>
      </w:r>
      <w:r>
        <w:rPr>
          <w:rFonts w:hint="eastAsia" w:ascii="宋体" w:hAnsi="宋体"/>
          <w:color w:val="auto"/>
          <w:sz w:val="24"/>
          <w:szCs w:val="24"/>
          <w:lang w:val="en-US"/>
        </w:rPr>
        <w:t>上</w:t>
      </w:r>
      <w:r>
        <w:rPr>
          <w:rFonts w:hint="eastAsia" w:ascii="宋体" w:hAnsi="宋体"/>
          <w:color w:val="auto"/>
          <w:sz w:val="24"/>
          <w:szCs w:val="24"/>
          <w:lang w:val="zh-CN"/>
        </w:rPr>
        <w:t>年相比,各减少45.95万元,下降10.32%。</w:t>
      </w:r>
      <w:r>
        <w:rPr>
          <w:rFonts w:hint="eastAsia" w:ascii="宋体" w:hAnsi="宋体"/>
          <w:color w:val="FF0000"/>
          <w:sz w:val="24"/>
          <w:szCs w:val="24"/>
          <w:lang w:val="zh-CN"/>
        </w:rPr>
        <w:t>主要原因是运转经费减少。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2023年度一般公共预算财政拨款支出389.70万元,较上年决算数减少51.23万元,下降11.62%。</w:t>
      </w:r>
      <w:r>
        <w:rPr>
          <w:rFonts w:hint="eastAsia" w:ascii="宋体" w:hAnsi="宋体"/>
          <w:color w:val="FF0000"/>
          <w:sz w:val="24"/>
          <w:szCs w:val="24"/>
          <w:lang w:val="zh-CN"/>
        </w:rPr>
        <w:t>主要原因是行政运行经费减少。</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389.70万元，主要用于以下方面：一般公共服务支出335.46万元,占86.08%；外交支出0.00万元,占0.0%；国防支出0.00万元,占0.0%；公共安全支出4.00万元,占1.03%；教育支出0.00万元,占0.0%；科学技术支出0.00万元，占0.0%；文化旅游体育与传媒支出0.00万元，占0.0%；社会保障和就业支出16.66万元,占4.28%；卫生健康支出6.45万元,占1.65%；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3.30万元,占0.85%；交通运输支出0.00万元,占0.0%；资源勘探工业信息等支出0.00万元，占0.0%；商业服务业等支出0.00万元,占0.0%；金融支出0.00万元,占0.0%；自然资源海洋气象等支出0.00万元,占0.0%；住房保障支出23.83万元,占6.11%；粮油物资储备支出0.00万元,占0.0%；灾害防治及应急管理支出0.00万元,占0.0%；其他支出0.00万元,占0.0%；债务还本支出0.00万元,占0.0%；债务付息支出0.00万元,占0.0%；抗疫特别国债安排的支出0.00万元,占0.0%。</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363.69万元,支出决算为389.70万元,完成年初预算的107.15%。其中：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年初预算数为293.87万元,支出决算为335.46万元,完成年初预算的114.15%,决算数大于预算数的</w:t>
      </w:r>
      <w:r>
        <w:rPr>
          <w:rFonts w:hint="eastAsia" w:ascii="宋体" w:hAnsi="宋体"/>
          <w:color w:val="FF0000"/>
          <w:sz w:val="24"/>
          <w:szCs w:val="24"/>
          <w:lang w:val="zh-CN"/>
        </w:rPr>
        <w:t>主要原因是追加综治工作经费。</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年初预算数为0.00万元,支出决算为4.00万元,完成年初预算的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w:t>
      </w:r>
      <w:r>
        <w:rPr>
          <w:rFonts w:hint="eastAsia" w:ascii="宋体" w:hAnsi="宋体"/>
          <w:color w:val="FF0000"/>
          <w:sz w:val="24"/>
          <w:szCs w:val="24"/>
          <w:lang w:val="zh-CN"/>
        </w:rPr>
        <w:t>主要原因是涉法涉诉资金调剂。</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年初预算数为33.33万元,支出决算为16.66万元,完成年初预算的50.0%,决算数小于预算数的</w:t>
      </w:r>
      <w:r>
        <w:rPr>
          <w:rFonts w:hint="eastAsia" w:ascii="宋体" w:hAnsi="宋体"/>
          <w:color w:val="FF0000"/>
          <w:sz w:val="24"/>
          <w:szCs w:val="24"/>
          <w:lang w:val="zh-CN"/>
        </w:rPr>
        <w:t>主要原因是养老保险资金未审核下半年未支付，转入结转资金。</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年初预算数为13.00万元,支出决算为6.45万元,完成年初预算的49.58%,决算数小于预算数的</w:t>
      </w:r>
      <w:r>
        <w:rPr>
          <w:rFonts w:hint="eastAsia" w:ascii="宋体" w:hAnsi="宋体"/>
          <w:color w:val="FF0000"/>
          <w:sz w:val="24"/>
          <w:szCs w:val="24"/>
          <w:lang w:val="zh-CN"/>
        </w:rPr>
        <w:t>主要原因是医疗保险资金未审核下半年未支付，转入结转资金。</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年初预算数为0.00万元,支出决算为3.30万元,完成年初预算的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w:t>
      </w:r>
      <w:r>
        <w:rPr>
          <w:rFonts w:hint="eastAsia" w:ascii="宋体" w:hAnsi="宋体"/>
          <w:color w:val="FF0000"/>
          <w:sz w:val="24"/>
          <w:szCs w:val="24"/>
          <w:lang w:val="zh-CN"/>
        </w:rPr>
        <w:t>主要原因是驻村工作队生活补助新增项目。</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年初预算数为23.50万元,支出决算为23.83万元,完成年初预算的101.39%,决算数大于预算数的</w:t>
      </w:r>
      <w:r>
        <w:rPr>
          <w:rFonts w:hint="eastAsia" w:ascii="宋体" w:hAnsi="宋体"/>
          <w:color w:val="FF0000"/>
          <w:sz w:val="24"/>
          <w:szCs w:val="24"/>
          <w:lang w:val="zh-CN"/>
        </w:rPr>
        <w:t>主要原因是人员级别变动。</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2023年度一般公共预算财政拨款基本支出321.97万元。其中：</w:t>
      </w:r>
    </w:p>
    <w:p>
      <w:pPr>
        <w:spacing w:before="100" w:beforeLines="0" w:after="100" w:afterLines="0"/>
        <w:jc w:val="left"/>
        <w:rPr>
          <w:rFonts w:hint="eastAsia" w:ascii="宋体" w:hAnsi="宋体" w:eastAsia="宋体" w:cs="宋体"/>
          <w:color w:val="FF0000"/>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288.88万元,较上年决算数减少116.55万元,下降28.75%,</w:t>
      </w:r>
      <w:r>
        <w:rPr>
          <w:rFonts w:hint="eastAsia" w:ascii="宋体" w:hAnsi="宋体"/>
          <w:color w:val="FF0000"/>
          <w:sz w:val="24"/>
          <w:szCs w:val="24"/>
          <w:lang w:val="zh-CN"/>
        </w:rPr>
        <w:t>主要原因是对个人和家庭的补助减少。</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w:t>
      </w:r>
      <w:r>
        <w:rPr>
          <w:rFonts w:hint="eastAsia" w:ascii="宋体" w:hAnsi="宋体" w:eastAsia="宋体" w:cs="宋体"/>
          <w:color w:val="FF0000"/>
          <w:sz w:val="24"/>
          <w:szCs w:val="24"/>
          <w:lang w:val="zh-CN"/>
        </w:rPr>
        <w:t>基本工资、津贴补贴、奖金、机关事业基本养老保险缴费、职工基本养老保险缴费、其他社会保障缴费、对个人和家庭的补助、住房公积金、退休费、生活补助。</w:t>
      </w:r>
    </w:p>
    <w:p>
      <w:pPr>
        <w:pageBreakBefore w:val="0"/>
        <w:kinsoku/>
        <w:wordWrap/>
        <w:overflowPunct/>
        <w:topLinePunct w:val="0"/>
        <w:autoSpaceDE/>
        <w:autoSpaceDN/>
        <w:bidi w:val="0"/>
        <w:adjustRightInd/>
        <w:snapToGrid/>
        <w:spacing w:before="100" w:beforeLines="0" w:after="100" w:afterLines="0" w:line="240" w:lineRule="auto"/>
        <w:ind w:firstLine="482"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auto"/>
          <w:sz w:val="24"/>
          <w:szCs w:val="24"/>
          <w:lang w:val="zh-CN"/>
        </w:rPr>
        <w:t>33.09万元,较上年决算数减少2.41万元,下降6.78%,</w:t>
      </w:r>
      <w:r>
        <w:rPr>
          <w:rFonts w:hint="eastAsia" w:ascii="宋体" w:hAnsi="宋体"/>
          <w:color w:val="FF0000"/>
          <w:sz w:val="24"/>
          <w:szCs w:val="24"/>
          <w:lang w:val="zh-CN"/>
        </w:rPr>
        <w:t>主要原因是办公费减少</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w:t>
      </w:r>
      <w:r>
        <w:rPr>
          <w:rFonts w:hint="eastAsia" w:ascii="宋体" w:hAnsi="宋体" w:eastAsia="宋体" w:cs="宋体"/>
          <w:color w:val="FF0000"/>
          <w:sz w:val="24"/>
          <w:szCs w:val="24"/>
          <w:lang w:val="zh-CN"/>
        </w:rPr>
        <w:t>办公费、印刷费、邮电费、电费、差旅费、维修费、会议费、工会经费、公车运行维护费、其他交通费。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预算数为1.41万元,支出决算为1.41万元,决算数等于预算数，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减少0.28</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下降16.13</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公车维护运行费减少。</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3"/>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预算数为1.41万元,支出决算为1.41万元,决算数等于预算数，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减少0.28</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下降16.13</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公车维护运行费减少</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预算数为1.41万元,支出决算为1.41万元,决算数等于预算数，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减少0.28</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下降16.13</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公车维护运行费减少。</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2023年度本部门机关运行经费支出33.09万元,机关运行经费</w:t>
      </w:r>
      <w:r>
        <w:rPr>
          <w:rFonts w:hint="eastAsia" w:ascii="宋体" w:hAnsi="宋体"/>
          <w:color w:val="FF0000"/>
          <w:sz w:val="24"/>
          <w:szCs w:val="24"/>
          <w:lang w:val="zh-CN"/>
        </w:rPr>
        <w:t>主要用于开支</w:t>
      </w:r>
      <w:r>
        <w:rPr>
          <w:rFonts w:hint="eastAsia" w:ascii="宋体" w:hAnsi="宋体" w:eastAsia="宋体" w:cs="宋体"/>
          <w:color w:val="FF0000"/>
          <w:sz w:val="24"/>
          <w:szCs w:val="24"/>
          <w:lang w:val="zh-CN"/>
        </w:rPr>
        <w:t>办公费、印刷费、邮电费、电费、差旅费、维修费、会议费、工会经费、公车运行维护费、其他交通费</w:t>
      </w:r>
      <w:r>
        <w:rPr>
          <w:rFonts w:hint="eastAsia" w:ascii="宋体" w:hAnsi="宋体"/>
          <w:color w:val="FF0000"/>
          <w:sz w:val="24"/>
          <w:szCs w:val="24"/>
          <w:lang w:val="zh-CN"/>
        </w:rPr>
        <w:t>。</w:t>
      </w:r>
      <w:r>
        <w:rPr>
          <w:rFonts w:hint="eastAsia" w:ascii="宋体" w:hAnsi="宋体"/>
          <w:color w:val="auto"/>
          <w:sz w:val="24"/>
          <w:szCs w:val="24"/>
          <w:lang w:val="zh-CN"/>
        </w:rPr>
        <w:t>机关运行经费较上年决算数减少2.41万元,下降6.79%,</w:t>
      </w:r>
      <w:r>
        <w:rPr>
          <w:rFonts w:hint="eastAsia" w:ascii="宋体" w:hAnsi="宋体"/>
          <w:color w:val="FF0000"/>
          <w:sz w:val="24"/>
          <w:szCs w:val="24"/>
          <w:lang w:val="zh-CN"/>
        </w:rPr>
        <w:t>主要原因是办公费减少。</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本年度会议费支出1.00万元,较上年决算数增加1.0万元,增长</w:t>
      </w:r>
      <w:r>
        <w:rPr>
          <w:rFonts w:hint="eastAsia" w:ascii="宋体" w:hAnsi="宋体"/>
          <w:color w:val="auto"/>
          <w:sz w:val="24"/>
          <w:szCs w:val="24"/>
          <w:lang w:val="en-US" w:eastAsia="zh-CN"/>
        </w:rPr>
        <w:t>100</w:t>
      </w:r>
      <w:r>
        <w:rPr>
          <w:rFonts w:hint="eastAsia" w:ascii="宋体" w:hAnsi="宋体"/>
          <w:color w:val="auto"/>
          <w:sz w:val="24"/>
          <w:szCs w:val="24"/>
          <w:lang w:val="zh-CN"/>
        </w:rPr>
        <w:t>%,</w:t>
      </w:r>
      <w:r>
        <w:rPr>
          <w:rFonts w:hint="eastAsia" w:ascii="宋体" w:hAnsi="宋体"/>
          <w:color w:val="FF0000"/>
          <w:sz w:val="24"/>
          <w:szCs w:val="24"/>
          <w:lang w:val="zh-CN"/>
        </w:rPr>
        <w:t>主要原因是本年度实际会议费需要，列支预算。</w:t>
      </w:r>
      <w:r>
        <w:rPr>
          <w:rFonts w:hint="eastAsia" w:ascii="宋体" w:hAnsi="宋体"/>
          <w:color w:val="auto"/>
          <w:sz w:val="24"/>
          <w:szCs w:val="24"/>
          <w:lang w:val="zh-CN"/>
        </w:rPr>
        <w:t>本年度培训费支出0.00万元,较上年决算数减少0.0万元。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4.09万元,其中：政府采购货物支出4.09万元、政府采购工程支出0.00万元、政府采购服务支出0.00万元。授予中小企业合同金额4.09万元,占政府采购支出总额的100.00%,其中：授予小微企业合同金额4.09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w:t>
      </w:r>
      <w:r>
        <w:rPr>
          <w:rFonts w:hint="eastAsia" w:ascii="宋体" w:hAnsi="宋体"/>
          <w:color w:val="auto"/>
          <w:sz w:val="24"/>
          <w:szCs w:val="24"/>
          <w:lang w:val="en-US" w:eastAsia="zh-CN"/>
        </w:rPr>
        <w:t>0</w:t>
      </w:r>
      <w:r>
        <w:rPr>
          <w:rFonts w:hint="eastAsia" w:ascii="宋体" w:hAnsi="宋体"/>
          <w:color w:val="auto"/>
          <w:sz w:val="24"/>
          <w:szCs w:val="24"/>
          <w:lang w:val="zh-CN"/>
        </w:rPr>
        <w:t>车辆、主要领导干部用</w:t>
      </w:r>
      <w:r>
        <w:rPr>
          <w:rFonts w:hint="eastAsia" w:ascii="宋体" w:hAnsi="宋体"/>
          <w:color w:val="auto"/>
          <w:sz w:val="24"/>
          <w:szCs w:val="24"/>
          <w:lang w:val="en-US" w:eastAsia="zh-CN"/>
        </w:rPr>
        <w:t>0</w:t>
      </w:r>
      <w:r>
        <w:rPr>
          <w:rFonts w:hint="eastAsia" w:ascii="宋体" w:hAnsi="宋体"/>
          <w:color w:val="auto"/>
          <w:sz w:val="24"/>
          <w:szCs w:val="24"/>
          <w:lang w:val="zh-CN"/>
        </w:rPr>
        <w:t>车辆、机要通信用车</w:t>
      </w:r>
      <w:r>
        <w:rPr>
          <w:rFonts w:hint="eastAsia" w:ascii="宋体" w:hAnsi="宋体"/>
          <w:color w:val="auto"/>
          <w:sz w:val="24"/>
          <w:szCs w:val="24"/>
          <w:lang w:val="en-US" w:eastAsia="zh-CN"/>
        </w:rPr>
        <w:t>0</w:t>
      </w:r>
      <w:r>
        <w:rPr>
          <w:rFonts w:hint="eastAsia" w:ascii="宋体" w:hAnsi="宋体"/>
          <w:color w:val="auto"/>
          <w:sz w:val="24"/>
          <w:szCs w:val="24"/>
          <w:lang w:val="zh-CN"/>
        </w:rPr>
        <w:t>辆、应急保障用</w:t>
      </w:r>
      <w:r>
        <w:rPr>
          <w:rFonts w:hint="eastAsia" w:ascii="宋体" w:hAnsi="宋体"/>
          <w:color w:val="auto"/>
          <w:sz w:val="24"/>
          <w:szCs w:val="24"/>
          <w:lang w:val="en-US" w:eastAsia="zh-CN"/>
        </w:rPr>
        <w:t>0</w:t>
      </w:r>
      <w:r>
        <w:rPr>
          <w:rFonts w:hint="eastAsia" w:ascii="宋体" w:hAnsi="宋体"/>
          <w:color w:val="auto"/>
          <w:sz w:val="24"/>
          <w:szCs w:val="24"/>
          <w:lang w:val="zh-CN"/>
        </w:rPr>
        <w:t>车辆、执法执勤用</w:t>
      </w:r>
      <w:r>
        <w:rPr>
          <w:rFonts w:hint="eastAsia" w:ascii="宋体" w:hAnsi="宋体"/>
          <w:color w:val="auto"/>
          <w:sz w:val="24"/>
          <w:szCs w:val="24"/>
          <w:lang w:val="en-US" w:eastAsia="zh-CN"/>
        </w:rPr>
        <w:t>0</w:t>
      </w:r>
      <w:r>
        <w:rPr>
          <w:rFonts w:hint="eastAsia" w:ascii="宋体" w:hAnsi="宋体"/>
          <w:color w:val="auto"/>
          <w:sz w:val="24"/>
          <w:szCs w:val="24"/>
          <w:lang w:val="zh-CN"/>
        </w:rPr>
        <w:t>车辆,特种专业技术用</w:t>
      </w:r>
      <w:r>
        <w:rPr>
          <w:rFonts w:hint="eastAsia" w:ascii="宋体" w:hAnsi="宋体"/>
          <w:color w:val="auto"/>
          <w:sz w:val="24"/>
          <w:szCs w:val="24"/>
          <w:lang w:val="en-US" w:eastAsia="zh-CN"/>
        </w:rPr>
        <w:t>0</w:t>
      </w:r>
      <w:r>
        <w:rPr>
          <w:rFonts w:hint="eastAsia" w:ascii="宋体" w:hAnsi="宋体"/>
          <w:color w:val="auto"/>
          <w:sz w:val="24"/>
          <w:szCs w:val="24"/>
          <w:lang w:val="zh-CN"/>
        </w:rPr>
        <w:t>车辆,离退休干部用</w:t>
      </w:r>
      <w:r>
        <w:rPr>
          <w:rFonts w:hint="eastAsia" w:ascii="宋体" w:hAnsi="宋体"/>
          <w:color w:val="auto"/>
          <w:sz w:val="24"/>
          <w:szCs w:val="24"/>
          <w:lang w:val="en-US" w:eastAsia="zh-CN"/>
        </w:rPr>
        <w:t>0</w:t>
      </w:r>
      <w:r>
        <w:rPr>
          <w:rFonts w:hint="eastAsia" w:ascii="宋体" w:hAnsi="宋体"/>
          <w:color w:val="auto"/>
          <w:sz w:val="24"/>
          <w:szCs w:val="24"/>
          <w:lang w:val="zh-CN"/>
        </w:rPr>
        <w:t>车辆,其他用</w:t>
      </w:r>
      <w:r>
        <w:rPr>
          <w:rFonts w:hint="eastAsia" w:ascii="宋体" w:hAnsi="宋体"/>
          <w:color w:val="auto"/>
          <w:sz w:val="24"/>
          <w:szCs w:val="24"/>
          <w:lang w:val="en-US" w:eastAsia="zh-CN"/>
        </w:rPr>
        <w:t>1</w:t>
      </w:r>
      <w:r>
        <w:rPr>
          <w:rFonts w:hint="eastAsia" w:ascii="宋体" w:hAnsi="宋体"/>
          <w:color w:val="auto"/>
          <w:sz w:val="24"/>
          <w:szCs w:val="24"/>
          <w:lang w:val="zh-CN"/>
        </w:rPr>
        <w:t>车辆,其他用车</w:t>
      </w:r>
      <w:r>
        <w:rPr>
          <w:rFonts w:hint="eastAsia" w:ascii="宋体" w:hAnsi="宋体"/>
          <w:color w:val="FF0000"/>
          <w:sz w:val="24"/>
          <w:szCs w:val="24"/>
          <w:lang w:val="zh-CN"/>
        </w:rPr>
        <w:t>主要是用于调研、公务接待。</w:t>
      </w:r>
      <w:r>
        <w:rPr>
          <w:rFonts w:hint="eastAsia" w:ascii="宋体" w:hAnsi="宋体"/>
          <w:color w:val="auto"/>
          <w:sz w:val="24"/>
          <w:szCs w:val="24"/>
          <w:lang w:val="zh-CN"/>
        </w:rPr>
        <w:t>单价100万元(含)以上设备</w:t>
      </w:r>
      <w:r>
        <w:rPr>
          <w:rFonts w:hint="eastAsia" w:ascii="宋体" w:hAnsi="宋体"/>
          <w:color w:val="auto"/>
          <w:sz w:val="24"/>
          <w:szCs w:val="24"/>
          <w:lang w:val="en-US" w:eastAsia="zh-CN"/>
        </w:rPr>
        <w:t>0</w:t>
      </w:r>
      <w:r>
        <w:rPr>
          <w:rFonts w:hint="eastAsia" w:ascii="宋体" w:hAnsi="宋体"/>
          <w:color w:val="auto"/>
          <w:sz w:val="24"/>
          <w:szCs w:val="24"/>
          <w:lang w:val="zh-CN"/>
        </w:rPr>
        <w:t>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default" w:ascii="仿宋_GB2312" w:hAnsi="仿宋_GB2312" w:eastAsia="宋体" w:cs="仿宋_GB2312"/>
          <w:color w:val="auto"/>
          <w:sz w:val="32"/>
          <w:szCs w:val="32"/>
          <w:lang w:val="en-US" w:eastAsia="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FF0000"/>
          <w:kern w:val="0"/>
          <w:sz w:val="24"/>
          <w:szCs w:val="24"/>
          <w:lang w:val="en-US" w:eastAsia="zh-CN"/>
        </w:rPr>
        <w:t>5</w:t>
      </w:r>
      <w:r>
        <w:rPr>
          <w:rFonts w:hint="eastAsia" w:ascii="宋体" w:hAnsi="宋体" w:eastAsia="宋体" w:cs="宋体"/>
          <w:color w:val="000000"/>
          <w:kern w:val="0"/>
          <w:sz w:val="24"/>
          <w:szCs w:val="24"/>
          <w:lang w:val="en-US"/>
        </w:rPr>
        <w:t>个,二级项目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FF0000"/>
          <w:kern w:val="0"/>
          <w:sz w:val="24"/>
          <w:szCs w:val="24"/>
          <w:lang w:val="en-US" w:eastAsia="zh-CN"/>
        </w:rPr>
        <w:t>61.36</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FF0000"/>
          <w:kern w:val="0"/>
          <w:sz w:val="24"/>
          <w:szCs w:val="24"/>
          <w:lang w:val="en-US" w:eastAsia="zh-CN"/>
        </w:rPr>
        <w:t>100</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w:t>
      </w:r>
      <w:r>
        <w:rPr>
          <w:rFonts w:hint="eastAsia" w:ascii="宋体" w:hAnsi="宋体" w:cs="宋体"/>
          <w:color w:val="FF0000"/>
          <w:kern w:val="0"/>
          <w:sz w:val="24"/>
          <w:szCs w:val="24"/>
          <w:lang w:val="en-US" w:eastAsia="zh-CN"/>
        </w:rPr>
        <w:t>综治工作经费</w:t>
      </w:r>
      <w:r>
        <w:rPr>
          <w:rFonts w:hint="eastAsia" w:ascii="宋体" w:hAnsi="宋体" w:eastAsia="宋体" w:cs="宋体"/>
          <w:color w:val="FF0000"/>
          <w:kern w:val="0"/>
          <w:sz w:val="24"/>
          <w:szCs w:val="24"/>
          <w:lang w:val="en-US"/>
        </w:rPr>
        <w:t>”“</w:t>
      </w:r>
      <w:r>
        <w:rPr>
          <w:rFonts w:hint="eastAsia" w:ascii="宋体" w:hAnsi="宋体" w:cs="宋体"/>
          <w:color w:val="FF0000"/>
          <w:kern w:val="0"/>
          <w:sz w:val="24"/>
          <w:szCs w:val="24"/>
          <w:lang w:val="en-US" w:eastAsia="zh-CN"/>
        </w:rPr>
        <w:t>专职网格员队伍省级补助经费</w:t>
      </w:r>
      <w:r>
        <w:rPr>
          <w:rFonts w:hint="eastAsia" w:ascii="宋体" w:hAnsi="宋体" w:eastAsia="宋体" w:cs="宋体"/>
          <w:color w:val="FF0000"/>
          <w:kern w:val="0"/>
          <w:sz w:val="24"/>
          <w:szCs w:val="24"/>
          <w:lang w:val="en-US"/>
        </w:rPr>
        <w:t>”</w:t>
      </w:r>
      <w:r>
        <w:rPr>
          <w:rFonts w:hint="eastAsia" w:ascii="宋体" w:hAnsi="宋体" w:eastAsia="宋体" w:cs="宋体"/>
          <w:color w:val="000000"/>
          <w:kern w:val="0"/>
          <w:sz w:val="24"/>
          <w:szCs w:val="24"/>
          <w:lang w:val="en-US"/>
        </w:rPr>
        <w:t>等</w:t>
      </w:r>
      <w:r>
        <w:rPr>
          <w:rFonts w:hint="eastAsia" w:ascii="宋体" w:hAnsi="宋体" w:cs="宋体"/>
          <w:color w:val="FF0000"/>
          <w:kern w:val="0"/>
          <w:sz w:val="24"/>
          <w:szCs w:val="24"/>
          <w:lang w:val="en-US" w:eastAsia="zh-CN"/>
        </w:rPr>
        <w:t>5</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cs="宋体"/>
          <w:color w:val="FF0000"/>
          <w:kern w:val="0"/>
          <w:sz w:val="24"/>
          <w:szCs w:val="24"/>
          <w:lang w:val="en-US" w:eastAsia="zh-CN"/>
        </w:rPr>
        <w:t>61.36</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cs="宋体"/>
          <w:color w:val="FF0000"/>
          <w:kern w:val="0"/>
          <w:sz w:val="24"/>
          <w:szCs w:val="24"/>
          <w:lang w:val="en-US" w:eastAsia="zh-CN"/>
        </w:rPr>
        <w:t>2023年度，我委绩效目标完成情况较好，还有不足需要完善。</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未</w:t>
      </w:r>
      <w:r>
        <w:rPr>
          <w:rFonts w:hint="eastAsia" w:ascii="宋体" w:hAnsi="宋体" w:eastAsia="宋体" w:cs="宋体"/>
          <w:color w:val="000000"/>
          <w:kern w:val="0"/>
          <w:sz w:val="24"/>
          <w:szCs w:val="24"/>
          <w:highlight w:val="none"/>
          <w:lang w:val="en-US"/>
        </w:rPr>
        <w:t>反映</w:t>
      </w:r>
      <w:r>
        <w:rPr>
          <w:rFonts w:hint="eastAsia" w:ascii="宋体" w:hAnsi="宋体" w:cs="宋体"/>
          <w:color w:val="000000"/>
          <w:kern w:val="0"/>
          <w:sz w:val="24"/>
          <w:szCs w:val="24"/>
          <w:highlight w:val="none"/>
          <w:lang w:val="en-US" w:eastAsia="zh-CN"/>
        </w:rPr>
        <w:t>项目绩效自评结果。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我部门无随决算公开的</w:t>
      </w:r>
      <w:bookmarkStart w:id="0" w:name="_GoBack"/>
      <w:bookmarkEnd w:id="0"/>
      <w:r>
        <w:rPr>
          <w:rFonts w:hint="eastAsia" w:asciiTheme="minorEastAsia" w:hAnsiTheme="minorEastAsia" w:eastAsiaTheme="minorEastAsia" w:cstheme="minorEastAsia"/>
          <w:color w:val="FF0000"/>
          <w:sz w:val="24"/>
          <w:szCs w:val="24"/>
          <w:lang w:val="zh-CN"/>
        </w:rPr>
        <w:t>部门评价(含委托第三方对部门政策或项目开展重点绩效评价的)报告或案例。</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334FECE9"/>
    <w:multiLevelType w:val="singleLevel"/>
    <w:tmpl w:val="334FECE9"/>
    <w:lvl w:ilvl="0" w:tentative="0">
      <w:start w:val="1"/>
      <w:numFmt w:val="decimal"/>
      <w:lvlText w:val="%1."/>
      <w:lvlJc w:val="left"/>
      <w:pPr>
        <w:tabs>
          <w:tab w:val="left" w:pos="312"/>
        </w:tabs>
      </w:p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YmFhNmQ1ZGEyMzIzN2IzZmQ3Y2NjYmQyZDVjZmIifQ=="/>
  </w:docVars>
  <w:rsids>
    <w:rsidRoot w:val="00000000"/>
    <w:rsid w:val="0965308B"/>
    <w:rsid w:val="0CA72A6E"/>
    <w:rsid w:val="0D506ADD"/>
    <w:rsid w:val="13374060"/>
    <w:rsid w:val="1CE453B4"/>
    <w:rsid w:val="248D35D0"/>
    <w:rsid w:val="330D23F6"/>
    <w:rsid w:val="339A4E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18f2daf6-b1e6-46c8-b81f-cbc10024e8b3}">
  <ds:schemaRefs/>
</ds:datastoreItem>
</file>

<file path=customXml/itemProps2.xml><?xml version="1.0" encoding="utf-8"?>
<ds:datastoreItem xmlns:ds="http://schemas.openxmlformats.org/officeDocument/2006/customXml" ds:itemID="{b8cafa0e-16c4-4388-a0c0-e20bd77cf6a0}">
  <ds:schemaRefs/>
</ds:datastoreItem>
</file>

<file path=customXml/itemProps3.xml><?xml version="1.0" encoding="utf-8"?>
<ds:datastoreItem xmlns:ds="http://schemas.openxmlformats.org/officeDocument/2006/customXml" ds:itemID="{99a9d7bc-4ef9-4958-8936-87535af7fb27}">
  <ds:schemaRefs/>
</ds:datastoreItem>
</file>

<file path=customXml/itemProps4.xml><?xml version="1.0" encoding="utf-8"?>
<ds:datastoreItem xmlns:ds="http://schemas.openxmlformats.org/officeDocument/2006/customXml" ds:itemID="{c38a4274-379b-4df7-aa00-ec6130b10464}">
  <ds:schemaRefs/>
</ds:datastoreItem>
</file>

<file path=customXml/itemProps5.xml><?xml version="1.0" encoding="utf-8"?>
<ds:datastoreItem xmlns:ds="http://schemas.openxmlformats.org/officeDocument/2006/customXml" ds:itemID="{17c6cdf2-9e38-4073-b5c3-b5bd3efa2d0e}">
  <ds:schemaRefs/>
</ds:datastoreItem>
</file>

<file path=customXml/itemProps6.xml><?xml version="1.0" encoding="utf-8"?>
<ds:datastoreItem xmlns:ds="http://schemas.openxmlformats.org/officeDocument/2006/customXml" ds:itemID="{39915593-39bd-4d44-900b-dd1056e4f72f}">
  <ds:schemaRefs/>
</ds:datastoreItem>
</file>

<file path=customXml/itemProps7.xml><?xml version="1.0" encoding="utf-8"?>
<ds:datastoreItem xmlns:ds="http://schemas.openxmlformats.org/officeDocument/2006/customXml" ds:itemID="{59ab0465-e5cc-430c-a16c-3b36b30e98fc}">
  <ds:schemaRefs/>
</ds:datastoreItem>
</file>

<file path=customXml/itemProps8.xml><?xml version="1.0" encoding="utf-8"?>
<ds:datastoreItem xmlns:ds="http://schemas.openxmlformats.org/officeDocument/2006/customXml" ds:itemID="{5a683d0b-3669-4d94-b356-e8b83accc7a3}">
  <ds:schemaRefs/>
</ds:datastoreItem>
</file>

<file path=customXml/itemProps9.xml><?xml version="1.0" encoding="utf-8"?>
<ds:datastoreItem xmlns:ds="http://schemas.openxmlformats.org/officeDocument/2006/customXml" ds:itemID="{43a69bfa-458e-4a16-ac73-8c59c676ae2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4867</Words>
  <Characters>5506</Characters>
  <Lines>0</Lines>
  <Paragraphs>0</Paragraphs>
  <TotalTime>22</TotalTime>
  <ScaleCrop>false</ScaleCrop>
  <LinksUpToDate>false</LinksUpToDate>
  <CharactersWithSpaces>5510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2024-09-06T03:30:22Z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E06D266F13EA4024808CEEADBAD91186_11</vt:lpwstr>
  </property>
</Properties>
</file>