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SimSun" w:hAnsi="SimSun" w:cs="SimSun"/>
          <w:b/>
          <w:bCs/>
          <w:kern w:val="0"/>
          <w:sz w:val="24"/>
          <w:szCs w:val="24"/>
        </w:rPr>
      </w:pPr>
      <w:r>
        <w:rPr>
          <w:rFonts w:hint="eastAsia" w:ascii="SimSun" w:hAnsi="SimSun" w:cs="SimSun"/>
          <w:b/>
          <w:bCs/>
          <w:kern w:val="0"/>
          <w:sz w:val="24"/>
          <w:szCs w:val="24"/>
        </w:rPr>
        <w:t>附件</w:t>
      </w:r>
      <w:r>
        <w:rPr>
          <w:rFonts w:ascii="SimSun" w:hAnsi="SimSun" w:cs="SimSun"/>
          <w:b/>
          <w:bCs/>
          <w:kern w:val="0"/>
          <w:sz w:val="24"/>
          <w:szCs w:val="24"/>
        </w:rPr>
        <w:t>1</w:t>
      </w:r>
    </w:p>
    <w:p>
      <w:pPr>
        <w:spacing w:line="660" w:lineRule="exact"/>
        <w:jc w:val="center"/>
        <w:rPr>
          <w:rFonts w:ascii="SimSun" w:hAnsi="SimSun" w:cs="SimSun"/>
          <w:b/>
          <w:bCs/>
          <w:kern w:val="0"/>
          <w:sz w:val="44"/>
          <w:szCs w:val="44"/>
        </w:rPr>
      </w:pPr>
    </w:p>
    <w:p>
      <w:pPr>
        <w:spacing w:line="660" w:lineRule="exact"/>
        <w:jc w:val="center"/>
        <w:rPr>
          <w:rFonts w:ascii="SimSun" w:hAnsi="SimSun" w:cs="SimSun"/>
          <w:b/>
          <w:bCs/>
          <w:kern w:val="0"/>
          <w:sz w:val="44"/>
          <w:szCs w:val="44"/>
        </w:rPr>
      </w:pPr>
    </w:p>
    <w:p>
      <w:pPr>
        <w:spacing w:line="660" w:lineRule="exact"/>
        <w:jc w:val="center"/>
        <w:rPr>
          <w:rFonts w:ascii="SimSun" w:hAnsi="SimSun" w:cs="SimSun"/>
          <w:b/>
          <w:bCs/>
          <w:kern w:val="0"/>
          <w:sz w:val="44"/>
          <w:szCs w:val="44"/>
        </w:rPr>
      </w:pPr>
    </w:p>
    <w:p>
      <w:pPr>
        <w:spacing w:line="660" w:lineRule="exact"/>
        <w:jc w:val="center"/>
        <w:rPr>
          <w:rFonts w:hint="eastAsia" w:ascii="SimSun" w:hAnsi="SimSun" w:cs="SimSun"/>
          <w:b/>
          <w:bCs/>
          <w:kern w:val="0"/>
          <w:sz w:val="44"/>
          <w:szCs w:val="44"/>
          <w:lang w:val="en-US" w:eastAsia="zh-CN"/>
        </w:rPr>
      </w:pPr>
      <w:r>
        <w:rPr>
          <w:rFonts w:hint="eastAsia" w:ascii="SimSun" w:hAnsi="SimSun" w:cs="SimSun"/>
          <w:b/>
          <w:bCs/>
          <w:kern w:val="0"/>
          <w:sz w:val="44"/>
          <w:szCs w:val="44"/>
          <w:lang w:val="en-US" w:eastAsia="zh-CN"/>
        </w:rPr>
        <w:t>东乡族自治县第五中学</w:t>
      </w:r>
    </w:p>
    <w:p>
      <w:pPr>
        <w:spacing w:line="660" w:lineRule="exact"/>
        <w:jc w:val="center"/>
        <w:rPr>
          <w:rFonts w:ascii="SimSun" w:hAnsi="SimSun" w:cs="SimSun"/>
          <w:b/>
          <w:bCs/>
          <w:kern w:val="0"/>
          <w:sz w:val="44"/>
          <w:szCs w:val="44"/>
        </w:rPr>
        <w:sectPr>
          <w:footerReference r:id="rId3" w:type="default"/>
          <w:pgSz w:w="11906" w:h="16838"/>
          <w:pgMar w:top="1134" w:right="1134" w:bottom="1440" w:left="1276" w:header="851" w:footer="992" w:gutter="0"/>
          <w:cols w:space="720" w:num="1"/>
          <w:docGrid w:type="lines" w:linePitch="312" w:charSpace="0"/>
        </w:sectPr>
      </w:pPr>
      <w:r>
        <w:rPr>
          <w:rFonts w:hint="eastAsia" w:ascii="SimSun" w:hAnsi="SimSun" w:cs="SimSun"/>
          <w:b/>
          <w:bCs/>
          <w:kern w:val="0"/>
          <w:sz w:val="44"/>
          <w:szCs w:val="44"/>
        </w:rPr>
        <w:t xml:space="preserve">2024年单位预算公开情况说明 </w:t>
      </w:r>
    </w:p>
    <w:p>
      <w:pPr>
        <w:spacing w:line="660" w:lineRule="exact"/>
        <w:jc w:val="center"/>
        <w:rPr>
          <w:rFonts w:ascii="SimSun" w:hAnsi="SimSun" w:cs="SimSun"/>
          <w:b/>
          <w:bCs/>
          <w:kern w:val="0"/>
          <w:sz w:val="44"/>
          <w:szCs w:val="44"/>
        </w:rPr>
      </w:pPr>
      <w:r>
        <w:rPr>
          <w:rFonts w:hint="eastAsia" w:ascii="SimSun" w:hAnsi="SimSun" w:cs="SimSun"/>
          <w:b/>
          <w:bCs/>
          <w:kern w:val="0"/>
          <w:sz w:val="44"/>
          <w:szCs w:val="44"/>
        </w:rPr>
        <w:t>目  录</w:t>
      </w:r>
    </w:p>
    <w:p>
      <w:pPr>
        <w:spacing w:line="660" w:lineRule="exact"/>
        <w:jc w:val="center"/>
        <w:rPr>
          <w:rFonts w:ascii="SimSun" w:hAnsi="SimSun" w:cs="SimSun"/>
          <w:b/>
          <w:bCs/>
          <w:kern w:val="0"/>
          <w:sz w:val="44"/>
          <w:szCs w:val="44"/>
        </w:rPr>
      </w:pPr>
    </w:p>
    <w:p>
      <w:pPr>
        <w:spacing w:line="30" w:lineRule="exact"/>
        <w:jc w:val="center"/>
        <w:rPr>
          <w:rFonts w:ascii="SimHei" w:eastAsia="SimHei"/>
          <w:color w:val="000000"/>
          <w:sz w:val="18"/>
          <w:szCs w:val="18"/>
        </w:rPr>
      </w:pPr>
    </w:p>
    <w:p>
      <w:pPr>
        <w:spacing w:line="560" w:lineRule="exact"/>
        <w:ind w:firstLine="602" w:firstLineChars="200"/>
        <w:jc w:val="left"/>
        <w:rPr>
          <w:rFonts w:ascii="仿宋_GB2312" w:hAnsi="FangSong" w:eastAsia="仿宋_GB2312"/>
          <w:b/>
          <w:color w:val="000000"/>
          <w:sz w:val="30"/>
          <w:szCs w:val="30"/>
        </w:rPr>
      </w:pPr>
      <w:r>
        <w:rPr>
          <w:rFonts w:hint="eastAsia" w:ascii="仿宋_GB2312" w:hAnsi="FangSong" w:eastAsia="仿宋_GB2312"/>
          <w:b/>
          <w:color w:val="000000"/>
          <w:sz w:val="30"/>
          <w:szCs w:val="30"/>
        </w:rPr>
        <w:t>第一部分 单位基本概况</w:t>
      </w:r>
    </w:p>
    <w:p>
      <w:pPr>
        <w:spacing w:line="560" w:lineRule="exact"/>
        <w:ind w:firstLine="600" w:firstLineChars="200"/>
        <w:jc w:val="left"/>
        <w:rPr>
          <w:rFonts w:ascii="仿宋_GB2312" w:hAnsi="FangSong" w:eastAsia="仿宋_GB2312"/>
          <w:color w:val="000000"/>
          <w:sz w:val="30"/>
          <w:szCs w:val="30"/>
        </w:rPr>
      </w:pPr>
      <w:r>
        <w:rPr>
          <w:rFonts w:hint="eastAsia" w:ascii="仿宋_GB2312" w:hAnsi="FangSong" w:eastAsia="仿宋_GB2312"/>
          <w:color w:val="000000"/>
          <w:sz w:val="30"/>
          <w:szCs w:val="30"/>
        </w:rPr>
        <w:t>一、单位职责</w:t>
      </w:r>
    </w:p>
    <w:p>
      <w:pPr>
        <w:spacing w:line="560" w:lineRule="exact"/>
        <w:ind w:firstLine="600" w:firstLineChars="200"/>
        <w:jc w:val="left"/>
        <w:rPr>
          <w:rFonts w:ascii="仿宋_GB2312" w:hAnsi="FangSong" w:eastAsia="仿宋_GB2312"/>
          <w:color w:val="000000"/>
          <w:sz w:val="30"/>
          <w:szCs w:val="30"/>
        </w:rPr>
      </w:pPr>
      <w:r>
        <w:rPr>
          <w:rFonts w:hint="eastAsia" w:ascii="仿宋_GB2312" w:hAnsi="FangSong" w:eastAsia="仿宋_GB2312"/>
          <w:color w:val="000000"/>
          <w:sz w:val="30"/>
          <w:szCs w:val="30"/>
        </w:rPr>
        <w:t>二、机构设置情况</w:t>
      </w:r>
    </w:p>
    <w:p>
      <w:pPr>
        <w:spacing w:line="560" w:lineRule="exact"/>
        <w:ind w:firstLine="602" w:firstLineChars="200"/>
        <w:jc w:val="left"/>
        <w:rPr>
          <w:rFonts w:ascii="仿宋_GB2312" w:hAnsi="FangSong" w:eastAsia="仿宋_GB2312"/>
          <w:b/>
          <w:color w:val="000000"/>
          <w:sz w:val="30"/>
          <w:szCs w:val="30"/>
        </w:rPr>
      </w:pPr>
      <w:r>
        <w:rPr>
          <w:rFonts w:hint="eastAsia" w:ascii="仿宋_GB2312" w:hAnsi="FangSong" w:eastAsia="仿宋_GB2312"/>
          <w:b/>
          <w:color w:val="000000"/>
          <w:sz w:val="30"/>
          <w:szCs w:val="30"/>
        </w:rPr>
        <w:t>第二部分 2024年单位预算情况说明</w:t>
      </w:r>
    </w:p>
    <w:p>
      <w:pPr>
        <w:spacing w:line="560" w:lineRule="exact"/>
        <w:ind w:firstLine="600" w:firstLineChars="200"/>
        <w:jc w:val="left"/>
        <w:rPr>
          <w:rFonts w:ascii="仿宋_GB2312" w:hAnsi="FangSong" w:eastAsia="仿宋_GB2312"/>
          <w:color w:val="000000"/>
          <w:sz w:val="30"/>
          <w:szCs w:val="30"/>
        </w:rPr>
      </w:pPr>
      <w:r>
        <w:rPr>
          <w:rFonts w:hint="eastAsia" w:ascii="仿宋_GB2312" w:hAnsi="FangSong" w:eastAsia="仿宋_GB2312"/>
          <w:color w:val="000000"/>
          <w:sz w:val="30"/>
          <w:szCs w:val="30"/>
        </w:rPr>
        <w:t>一、收支总体情况</w:t>
      </w:r>
    </w:p>
    <w:p>
      <w:pPr>
        <w:spacing w:line="560" w:lineRule="exact"/>
        <w:ind w:firstLine="600" w:firstLineChars="200"/>
        <w:jc w:val="left"/>
        <w:rPr>
          <w:rFonts w:ascii="仿宋_GB2312" w:hAnsi="FangSong" w:eastAsia="仿宋_GB2312"/>
          <w:color w:val="000000"/>
          <w:sz w:val="30"/>
          <w:szCs w:val="30"/>
        </w:rPr>
      </w:pPr>
      <w:r>
        <w:rPr>
          <w:rFonts w:hint="eastAsia" w:ascii="仿宋_GB2312" w:hAnsi="FangSong" w:eastAsia="仿宋_GB2312"/>
          <w:color w:val="000000"/>
          <w:sz w:val="30"/>
          <w:szCs w:val="30"/>
        </w:rPr>
        <w:t>二、一般公共预算情况</w:t>
      </w:r>
    </w:p>
    <w:p>
      <w:pPr>
        <w:spacing w:line="560" w:lineRule="exact"/>
        <w:ind w:firstLine="600" w:firstLineChars="200"/>
        <w:jc w:val="left"/>
        <w:rPr>
          <w:rFonts w:ascii="仿宋_GB2312" w:hAnsi="FangSong" w:eastAsia="仿宋_GB2312"/>
          <w:color w:val="000000"/>
          <w:sz w:val="30"/>
          <w:szCs w:val="30"/>
        </w:rPr>
      </w:pPr>
      <w:r>
        <w:rPr>
          <w:rFonts w:hint="eastAsia" w:ascii="仿宋_GB2312" w:hAnsi="FangSong" w:eastAsia="仿宋_GB2312"/>
          <w:color w:val="000000"/>
          <w:sz w:val="30"/>
          <w:szCs w:val="30"/>
        </w:rPr>
        <w:t>三、一般公共预算财政拨款“三公”经费、培训费、会议费等情况</w:t>
      </w:r>
    </w:p>
    <w:p>
      <w:pPr>
        <w:spacing w:line="560" w:lineRule="exact"/>
        <w:ind w:firstLine="600" w:firstLineChars="200"/>
        <w:jc w:val="left"/>
        <w:rPr>
          <w:rFonts w:ascii="仿宋_GB2312" w:hAnsi="FangSong" w:eastAsia="仿宋_GB2312"/>
          <w:color w:val="000000"/>
          <w:sz w:val="30"/>
          <w:szCs w:val="30"/>
        </w:rPr>
      </w:pPr>
      <w:r>
        <w:rPr>
          <w:rFonts w:hint="eastAsia" w:ascii="仿宋_GB2312" w:hAnsi="FangSong" w:eastAsia="仿宋_GB2312"/>
          <w:color w:val="000000"/>
          <w:sz w:val="30"/>
          <w:szCs w:val="30"/>
        </w:rPr>
        <w:t>四、一般公共预算财政拨款机关运行经费情况</w:t>
      </w:r>
    </w:p>
    <w:p>
      <w:pPr>
        <w:spacing w:line="560" w:lineRule="exact"/>
        <w:ind w:firstLine="600" w:firstLineChars="200"/>
        <w:jc w:val="left"/>
        <w:rPr>
          <w:rFonts w:ascii="仿宋_GB2312" w:hAnsi="FangSong" w:eastAsia="仿宋_GB2312"/>
          <w:color w:val="000000"/>
          <w:sz w:val="30"/>
          <w:szCs w:val="30"/>
        </w:rPr>
      </w:pPr>
      <w:r>
        <w:rPr>
          <w:rFonts w:hint="eastAsia" w:ascii="仿宋_GB2312" w:hAnsi="FangSong" w:eastAsia="仿宋_GB2312"/>
          <w:color w:val="000000"/>
          <w:sz w:val="30"/>
          <w:szCs w:val="30"/>
        </w:rPr>
        <w:t>五、政府采购安排情况</w:t>
      </w:r>
    </w:p>
    <w:p>
      <w:pPr>
        <w:spacing w:line="560" w:lineRule="exact"/>
        <w:ind w:firstLine="600" w:firstLineChars="200"/>
        <w:jc w:val="left"/>
        <w:rPr>
          <w:rFonts w:ascii="仿宋_GB2312" w:hAnsi="FangSong" w:eastAsia="仿宋_GB2312"/>
          <w:color w:val="000000"/>
          <w:sz w:val="30"/>
          <w:szCs w:val="30"/>
        </w:rPr>
      </w:pPr>
      <w:r>
        <w:rPr>
          <w:rFonts w:hint="eastAsia" w:ascii="仿宋_GB2312" w:hAnsi="FangSong" w:eastAsia="仿宋_GB2312"/>
          <w:color w:val="000000"/>
          <w:sz w:val="30"/>
          <w:szCs w:val="30"/>
        </w:rPr>
        <w:t>六、国有资产占用情况</w:t>
      </w:r>
    </w:p>
    <w:p>
      <w:pPr>
        <w:spacing w:line="560" w:lineRule="exact"/>
        <w:ind w:firstLine="600" w:firstLineChars="200"/>
        <w:jc w:val="left"/>
        <w:rPr>
          <w:rFonts w:ascii="仿宋_GB2312" w:hAnsi="FangSong" w:eastAsia="仿宋_GB2312"/>
          <w:color w:val="000000"/>
          <w:sz w:val="30"/>
          <w:szCs w:val="30"/>
        </w:rPr>
      </w:pPr>
      <w:r>
        <w:rPr>
          <w:rFonts w:hint="eastAsia" w:ascii="仿宋_GB2312" w:hAnsi="FangSong" w:eastAsia="仿宋_GB2312"/>
          <w:color w:val="000000"/>
          <w:sz w:val="30"/>
          <w:szCs w:val="30"/>
        </w:rPr>
        <w:t>七、其他重要事项情况说明</w:t>
      </w:r>
    </w:p>
    <w:p>
      <w:pPr>
        <w:spacing w:line="560" w:lineRule="exact"/>
        <w:ind w:firstLine="600" w:firstLineChars="200"/>
        <w:jc w:val="left"/>
        <w:rPr>
          <w:rFonts w:ascii="仿宋_GB2312" w:hAnsi="FangSong" w:eastAsia="仿宋_GB2312"/>
          <w:color w:val="000000"/>
          <w:sz w:val="30"/>
          <w:szCs w:val="30"/>
        </w:rPr>
      </w:pPr>
      <w:r>
        <w:rPr>
          <w:rFonts w:hint="eastAsia" w:ascii="仿宋_GB2312" w:hAnsi="FangSong" w:eastAsia="仿宋_GB2312"/>
          <w:color w:val="000000"/>
          <w:sz w:val="30"/>
          <w:szCs w:val="30"/>
        </w:rPr>
        <w:t>八、预算绩效管理情况</w:t>
      </w:r>
    </w:p>
    <w:p>
      <w:pPr>
        <w:spacing w:line="560" w:lineRule="exact"/>
        <w:ind w:firstLine="600" w:firstLineChars="200"/>
        <w:jc w:val="left"/>
        <w:rPr>
          <w:rFonts w:ascii="仿宋_GB2312" w:hAnsi="FangSong" w:eastAsia="仿宋_GB2312"/>
          <w:color w:val="000000"/>
          <w:sz w:val="30"/>
          <w:szCs w:val="30"/>
        </w:rPr>
      </w:pPr>
      <w:r>
        <w:rPr>
          <w:rFonts w:hint="eastAsia" w:ascii="仿宋_GB2312" w:hAnsi="FangSong" w:eastAsia="仿宋_GB2312"/>
          <w:color w:val="000000"/>
          <w:sz w:val="30"/>
          <w:szCs w:val="30"/>
        </w:rPr>
        <w:t>九、名词解释</w:t>
      </w:r>
    </w:p>
    <w:p>
      <w:pPr>
        <w:spacing w:line="560" w:lineRule="exact"/>
        <w:ind w:firstLine="602" w:firstLineChars="200"/>
        <w:jc w:val="left"/>
        <w:rPr>
          <w:rFonts w:ascii="仿宋_GB2312" w:hAnsi="FangSong" w:eastAsia="仿宋_GB2312"/>
          <w:b/>
          <w:color w:val="000000"/>
          <w:sz w:val="30"/>
          <w:szCs w:val="30"/>
        </w:rPr>
      </w:pPr>
      <w:r>
        <w:rPr>
          <w:rFonts w:hint="eastAsia" w:ascii="仿宋_GB2312" w:hAnsi="FangSong" w:eastAsia="仿宋_GB2312"/>
          <w:b/>
          <w:color w:val="000000"/>
          <w:sz w:val="30"/>
          <w:szCs w:val="30"/>
        </w:rPr>
        <w:t>第三部分 2024年单位预算公开表</w:t>
      </w:r>
    </w:p>
    <w:p>
      <w:pPr>
        <w:spacing w:line="560" w:lineRule="exact"/>
        <w:ind w:firstLine="600" w:firstLineChars="200"/>
        <w:jc w:val="left"/>
        <w:rPr>
          <w:rFonts w:ascii="仿宋_GB2312" w:hAnsi="FangSong" w:eastAsia="仿宋_GB2312"/>
          <w:color w:val="000000"/>
          <w:sz w:val="30"/>
          <w:szCs w:val="30"/>
        </w:rPr>
      </w:pPr>
      <w:r>
        <w:rPr>
          <w:rFonts w:hint="eastAsia" w:ascii="仿宋_GB2312" w:hAnsi="FangSong" w:eastAsia="仿宋_GB2312"/>
          <w:color w:val="000000"/>
          <w:sz w:val="30"/>
          <w:szCs w:val="30"/>
        </w:rPr>
        <w:t>一、单位收支总体情况表</w:t>
      </w:r>
    </w:p>
    <w:p>
      <w:pPr>
        <w:spacing w:line="560" w:lineRule="exact"/>
        <w:ind w:firstLine="600" w:firstLineChars="200"/>
        <w:jc w:val="left"/>
        <w:rPr>
          <w:rFonts w:ascii="仿宋_GB2312" w:hAnsi="FangSong" w:eastAsia="仿宋_GB2312"/>
          <w:color w:val="000000"/>
          <w:sz w:val="30"/>
          <w:szCs w:val="30"/>
        </w:rPr>
      </w:pPr>
      <w:r>
        <w:rPr>
          <w:rFonts w:hint="eastAsia" w:ascii="仿宋_GB2312" w:hAnsi="FangSong" w:eastAsia="仿宋_GB2312"/>
          <w:color w:val="000000"/>
          <w:sz w:val="30"/>
          <w:szCs w:val="30"/>
        </w:rPr>
        <w:t>二、单位收入总体情况表</w:t>
      </w:r>
    </w:p>
    <w:p>
      <w:pPr>
        <w:spacing w:line="560" w:lineRule="exact"/>
        <w:ind w:firstLine="600" w:firstLineChars="200"/>
        <w:jc w:val="left"/>
        <w:rPr>
          <w:rFonts w:ascii="仿宋_GB2312" w:hAnsi="FangSong" w:eastAsia="仿宋_GB2312"/>
          <w:color w:val="000000"/>
          <w:sz w:val="30"/>
          <w:szCs w:val="30"/>
        </w:rPr>
      </w:pPr>
      <w:r>
        <w:rPr>
          <w:rFonts w:hint="eastAsia" w:ascii="仿宋_GB2312" w:hAnsi="FangSong" w:eastAsia="仿宋_GB2312"/>
          <w:color w:val="000000"/>
          <w:sz w:val="30"/>
          <w:szCs w:val="30"/>
        </w:rPr>
        <w:t>三、单位支出总体情况表</w:t>
      </w:r>
    </w:p>
    <w:p>
      <w:pPr>
        <w:spacing w:line="560" w:lineRule="exact"/>
        <w:ind w:firstLine="600" w:firstLineChars="200"/>
        <w:jc w:val="left"/>
        <w:rPr>
          <w:rFonts w:ascii="仿宋_GB2312" w:hAnsi="FangSong" w:eastAsia="仿宋_GB2312"/>
          <w:color w:val="000000"/>
          <w:sz w:val="30"/>
          <w:szCs w:val="30"/>
        </w:rPr>
      </w:pPr>
      <w:r>
        <w:rPr>
          <w:rFonts w:hint="eastAsia" w:ascii="仿宋_GB2312" w:hAnsi="FangSong" w:eastAsia="仿宋_GB2312"/>
          <w:color w:val="000000"/>
          <w:sz w:val="30"/>
          <w:szCs w:val="30"/>
        </w:rPr>
        <w:t>四、财政拨款收支总体情况表</w:t>
      </w:r>
    </w:p>
    <w:p>
      <w:pPr>
        <w:spacing w:line="560" w:lineRule="exact"/>
        <w:ind w:firstLine="600" w:firstLineChars="200"/>
        <w:jc w:val="left"/>
        <w:rPr>
          <w:rFonts w:ascii="仿宋_GB2312" w:hAnsi="FangSong" w:eastAsia="仿宋_GB2312"/>
          <w:color w:val="000000"/>
          <w:sz w:val="30"/>
          <w:szCs w:val="30"/>
        </w:rPr>
      </w:pPr>
      <w:r>
        <w:rPr>
          <w:rFonts w:hint="eastAsia" w:ascii="仿宋_GB2312" w:hAnsi="FangSong" w:eastAsia="仿宋_GB2312"/>
          <w:color w:val="000000"/>
          <w:sz w:val="30"/>
          <w:szCs w:val="30"/>
        </w:rPr>
        <w:t>五、财政拨款支出表</w:t>
      </w:r>
    </w:p>
    <w:p>
      <w:pPr>
        <w:spacing w:line="560" w:lineRule="exact"/>
        <w:ind w:firstLine="600" w:firstLineChars="200"/>
        <w:jc w:val="left"/>
        <w:rPr>
          <w:rFonts w:ascii="仿宋_GB2312" w:hAnsi="FangSong" w:eastAsia="仿宋_GB2312"/>
          <w:color w:val="000000"/>
          <w:sz w:val="30"/>
          <w:szCs w:val="30"/>
        </w:rPr>
      </w:pPr>
      <w:r>
        <w:rPr>
          <w:rFonts w:hint="eastAsia" w:ascii="仿宋_GB2312" w:hAnsi="FangSong" w:eastAsia="仿宋_GB2312"/>
          <w:color w:val="000000"/>
          <w:sz w:val="30"/>
          <w:szCs w:val="30"/>
        </w:rPr>
        <w:t>六、一般公共预算支出情况表</w:t>
      </w:r>
    </w:p>
    <w:p>
      <w:pPr>
        <w:spacing w:line="560" w:lineRule="exact"/>
        <w:ind w:firstLine="600" w:firstLineChars="200"/>
        <w:jc w:val="left"/>
        <w:rPr>
          <w:rFonts w:ascii="仿宋_GB2312" w:hAnsi="FangSong" w:eastAsia="仿宋_GB2312"/>
          <w:color w:val="000000"/>
          <w:sz w:val="30"/>
          <w:szCs w:val="30"/>
        </w:rPr>
      </w:pPr>
      <w:r>
        <w:rPr>
          <w:rFonts w:hint="eastAsia" w:ascii="仿宋_GB2312" w:hAnsi="FangSong" w:eastAsia="仿宋_GB2312"/>
          <w:color w:val="000000"/>
          <w:sz w:val="30"/>
          <w:szCs w:val="30"/>
        </w:rPr>
        <w:t>七、一般公共预算基本支出情况表</w:t>
      </w:r>
    </w:p>
    <w:p>
      <w:pPr>
        <w:spacing w:line="560" w:lineRule="exact"/>
        <w:ind w:firstLine="600" w:firstLineChars="200"/>
        <w:jc w:val="left"/>
        <w:rPr>
          <w:rFonts w:ascii="仿宋_GB2312" w:hAnsi="FangSong" w:eastAsia="仿宋_GB2312"/>
          <w:color w:val="000000"/>
          <w:spacing w:val="-20"/>
          <w:sz w:val="30"/>
          <w:szCs w:val="30"/>
        </w:rPr>
      </w:pPr>
      <w:r>
        <w:rPr>
          <w:rFonts w:hint="eastAsia" w:ascii="仿宋_GB2312" w:hAnsi="FangSong" w:eastAsia="仿宋_GB2312"/>
          <w:color w:val="000000"/>
          <w:sz w:val="30"/>
          <w:szCs w:val="30"/>
        </w:rPr>
        <w:t>八、</w:t>
      </w:r>
      <w:r>
        <w:rPr>
          <w:rFonts w:hint="eastAsia" w:ascii="仿宋_GB2312" w:hAnsi="FangSong" w:eastAsia="仿宋_GB2312"/>
          <w:color w:val="000000"/>
          <w:spacing w:val="-20"/>
          <w:sz w:val="30"/>
          <w:szCs w:val="30"/>
        </w:rPr>
        <w:t>一般公共预算财政拨款“三公”经费、会议费、培训费支出情况表</w:t>
      </w:r>
    </w:p>
    <w:p>
      <w:pPr>
        <w:spacing w:line="560" w:lineRule="exact"/>
        <w:ind w:firstLine="600" w:firstLineChars="200"/>
        <w:jc w:val="left"/>
        <w:rPr>
          <w:rFonts w:ascii="仿宋_GB2312" w:hAnsi="FangSong" w:eastAsia="仿宋_GB2312"/>
          <w:color w:val="000000"/>
          <w:sz w:val="30"/>
          <w:szCs w:val="30"/>
        </w:rPr>
      </w:pPr>
      <w:r>
        <w:rPr>
          <w:rFonts w:hint="eastAsia" w:ascii="仿宋_GB2312" w:hAnsi="FangSong" w:eastAsia="仿宋_GB2312"/>
          <w:color w:val="000000"/>
          <w:sz w:val="30"/>
          <w:szCs w:val="30"/>
        </w:rPr>
        <w:t>九、一般公共预算财政拨款机关运行经费表</w:t>
      </w:r>
    </w:p>
    <w:p>
      <w:pPr>
        <w:spacing w:line="560" w:lineRule="exact"/>
        <w:ind w:firstLine="600" w:firstLineChars="200"/>
        <w:jc w:val="left"/>
        <w:rPr>
          <w:rFonts w:ascii="仿宋_GB2312" w:hAnsi="FangSong" w:eastAsia="仿宋_GB2312"/>
          <w:color w:val="000000"/>
          <w:sz w:val="30"/>
          <w:szCs w:val="30"/>
        </w:rPr>
      </w:pPr>
      <w:r>
        <w:rPr>
          <w:rFonts w:hint="eastAsia" w:ascii="仿宋_GB2312" w:hAnsi="FangSong" w:eastAsia="仿宋_GB2312"/>
          <w:color w:val="000000"/>
          <w:sz w:val="30"/>
          <w:szCs w:val="30"/>
        </w:rPr>
        <w:t>十、政府性基金预算支出情况表</w:t>
      </w:r>
    </w:p>
    <w:p>
      <w:pPr>
        <w:spacing w:line="560" w:lineRule="exact"/>
        <w:ind w:firstLine="600" w:firstLineChars="200"/>
        <w:jc w:val="left"/>
        <w:rPr>
          <w:rFonts w:ascii="仿宋_GB2312" w:hAnsi="FangSong" w:eastAsia="仿宋_GB2312"/>
          <w:color w:val="000000"/>
          <w:sz w:val="30"/>
          <w:szCs w:val="30"/>
        </w:rPr>
      </w:pPr>
      <w:r>
        <w:rPr>
          <w:rFonts w:hint="eastAsia" w:ascii="仿宋_GB2312" w:hAnsi="FangSong" w:eastAsia="仿宋_GB2312"/>
          <w:color w:val="000000"/>
          <w:sz w:val="30"/>
          <w:szCs w:val="30"/>
        </w:rPr>
        <w:t>十一、部门管理转移支付表</w:t>
      </w:r>
    </w:p>
    <w:p>
      <w:pPr>
        <w:spacing w:line="560" w:lineRule="exact"/>
        <w:ind w:firstLine="600" w:firstLineChars="200"/>
        <w:jc w:val="left"/>
        <w:rPr>
          <w:rFonts w:ascii="仿宋_GB2312" w:hAnsi="FangSong" w:eastAsia="仿宋_GB2312"/>
          <w:color w:val="000000"/>
          <w:sz w:val="30"/>
          <w:szCs w:val="30"/>
        </w:rPr>
      </w:pPr>
      <w:r>
        <w:rPr>
          <w:rFonts w:hint="eastAsia" w:ascii="仿宋_GB2312" w:hAnsi="FangSong" w:eastAsia="仿宋_GB2312"/>
          <w:color w:val="000000"/>
          <w:sz w:val="30"/>
          <w:szCs w:val="30"/>
        </w:rPr>
        <w:t>十二、国有资本经营预算支出情况表</w:t>
      </w:r>
    </w:p>
    <w:p>
      <w:pPr>
        <w:spacing w:line="560" w:lineRule="exact"/>
        <w:ind w:firstLine="600" w:firstLineChars="200"/>
        <w:jc w:val="left"/>
        <w:rPr>
          <w:rFonts w:ascii="仿宋_GB2312" w:hAnsi="FangSong" w:eastAsia="仿宋_GB2312"/>
          <w:color w:val="000000"/>
          <w:sz w:val="30"/>
          <w:szCs w:val="30"/>
        </w:rPr>
      </w:pPr>
      <w:r>
        <w:rPr>
          <w:rFonts w:hint="eastAsia" w:ascii="仿宋_GB2312" w:hAnsi="FangSong" w:eastAsia="仿宋_GB2312"/>
          <w:color w:val="000000"/>
          <w:sz w:val="30"/>
          <w:szCs w:val="30"/>
        </w:rPr>
        <w:t>十三、单位整体支出绩效目标表和项目支出绩效目标表</w:t>
      </w:r>
    </w:p>
    <w:p>
      <w:pPr>
        <w:spacing w:line="660" w:lineRule="exact"/>
        <w:jc w:val="center"/>
        <w:rPr>
          <w:rFonts w:ascii="仿宋_GB2312" w:hAnsi="SimSun" w:eastAsia="仿宋_GB2312" w:cs="SimSun"/>
          <w:b/>
          <w:bCs/>
          <w:kern w:val="0"/>
          <w:sz w:val="44"/>
          <w:szCs w:val="44"/>
        </w:rPr>
      </w:pPr>
    </w:p>
    <w:p>
      <w:pPr>
        <w:spacing w:line="600" w:lineRule="exact"/>
        <w:ind w:firstLine="562" w:firstLineChars="200"/>
        <w:rPr>
          <w:rFonts w:ascii="仿宋_GB2312" w:hAnsi="FangSong" w:eastAsia="仿宋_GB2312" w:cs="SimSun"/>
          <w:b/>
          <w:kern w:val="0"/>
          <w:sz w:val="28"/>
          <w:szCs w:val="28"/>
        </w:rPr>
        <w:sectPr>
          <w:footerReference r:id="rId4" w:type="default"/>
          <w:pgSz w:w="11906" w:h="16838"/>
          <w:pgMar w:top="1134" w:right="1134" w:bottom="1440" w:left="1276" w:header="851" w:footer="992" w:gutter="0"/>
          <w:pgNumType w:start="1"/>
          <w:cols w:space="720" w:num="1"/>
          <w:docGrid w:type="lines" w:linePitch="312" w:charSpace="0"/>
        </w:sectPr>
      </w:pPr>
    </w:p>
    <w:p>
      <w:pPr>
        <w:keepNext w:val="0"/>
        <w:keepLines w:val="0"/>
        <w:pageBreakBefore w:val="0"/>
        <w:kinsoku/>
        <w:wordWrap/>
        <w:overflowPunct/>
        <w:topLinePunct w:val="0"/>
        <w:autoSpaceDE/>
        <w:autoSpaceDN/>
        <w:bidi w:val="0"/>
        <w:spacing w:line="580" w:lineRule="exact"/>
        <w:ind w:firstLine="643" w:firstLineChars="200"/>
        <w:textAlignment w:val="auto"/>
        <w:rPr>
          <w:rFonts w:ascii="仿宋_GB2312" w:hAnsi="SimHei" w:eastAsia="仿宋_GB2312" w:cs="SimSun"/>
          <w:b/>
          <w:kern w:val="0"/>
          <w:sz w:val="32"/>
          <w:szCs w:val="32"/>
        </w:rPr>
      </w:pPr>
      <w:r>
        <w:rPr>
          <w:rFonts w:hint="eastAsia" w:ascii="仿宋_GB2312" w:hAnsi="SimHei" w:eastAsia="仿宋_GB2312" w:cs="SimSun"/>
          <w:b/>
          <w:kern w:val="0"/>
          <w:sz w:val="32"/>
          <w:szCs w:val="32"/>
        </w:rPr>
        <w:t>前言</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FangSong" w:eastAsia="仿宋_GB2312" w:cs="SimSun"/>
          <w:kern w:val="0"/>
          <w:sz w:val="32"/>
          <w:szCs w:val="32"/>
        </w:rPr>
      </w:pPr>
      <w:r>
        <w:rPr>
          <w:rFonts w:hint="eastAsia" w:ascii="仿宋_GB2312" w:hAnsi="FangSong" w:eastAsia="仿宋_GB2312" w:cs="SimSun"/>
          <w:kern w:val="0"/>
          <w:sz w:val="32"/>
          <w:szCs w:val="32"/>
        </w:rPr>
        <w:t>按照《中华人民共和国预算法》《中华人民共和国预算法实施条例》以及</w:t>
      </w:r>
      <w:r>
        <w:rPr>
          <w:rFonts w:ascii="仿宋_GB2312" w:hAnsi="FangSong" w:eastAsia="仿宋_GB2312" w:cs="SimSun"/>
          <w:kern w:val="0"/>
          <w:sz w:val="32"/>
          <w:szCs w:val="32"/>
        </w:rPr>
        <w:t>财政部</w:t>
      </w:r>
      <w:r>
        <w:rPr>
          <w:rFonts w:hint="eastAsia" w:ascii="仿宋_GB2312" w:hAnsi="FangSong" w:eastAsia="仿宋_GB2312" w:cs="SimSun"/>
          <w:kern w:val="0"/>
          <w:sz w:val="32"/>
          <w:szCs w:val="32"/>
        </w:rPr>
        <w:t>《地方预决算公开操作规程》《关于推进部门所属单位预算公开的指导意见》和《中共甘肃省委办公厅 甘肃省人民政府办公厅关于进一步推进预算公开工作的实施方案》要求，现将2024年</w:t>
      </w:r>
      <w:r>
        <w:rPr>
          <w:rFonts w:hint="eastAsia" w:ascii="仿宋_GB2312" w:hAnsi="FangSong" w:eastAsia="仿宋_GB2312" w:cs="SimSun"/>
          <w:kern w:val="0"/>
          <w:sz w:val="32"/>
          <w:szCs w:val="32"/>
          <w:lang w:eastAsia="zh-CN"/>
        </w:rPr>
        <w:t>单位</w:t>
      </w:r>
      <w:r>
        <w:rPr>
          <w:rFonts w:hint="eastAsia" w:ascii="仿宋_GB2312" w:hAnsi="FangSong" w:eastAsia="仿宋_GB2312" w:cs="SimSun"/>
          <w:kern w:val="0"/>
          <w:sz w:val="32"/>
          <w:szCs w:val="32"/>
        </w:rPr>
        <w:t>预算公开如下：</w:t>
      </w:r>
    </w:p>
    <w:p>
      <w:pPr>
        <w:keepNext w:val="0"/>
        <w:keepLines w:val="0"/>
        <w:pageBreakBefore w:val="0"/>
        <w:numPr>
          <w:ilvl w:val="0"/>
          <w:numId w:val="1"/>
        </w:numPr>
        <w:kinsoku/>
        <w:wordWrap/>
        <w:overflowPunct/>
        <w:topLinePunct w:val="0"/>
        <w:autoSpaceDE/>
        <w:autoSpaceDN/>
        <w:bidi w:val="0"/>
        <w:spacing w:line="580" w:lineRule="exact"/>
        <w:ind w:firstLine="640" w:firstLineChars="200"/>
        <w:textAlignment w:val="auto"/>
        <w:rPr>
          <w:rFonts w:hint="eastAsia" w:ascii="SimHei" w:hAnsi="SimHei" w:eastAsia="SimHei" w:cs="SimSun"/>
          <w:kern w:val="0"/>
          <w:sz w:val="32"/>
          <w:szCs w:val="32"/>
        </w:rPr>
      </w:pPr>
      <w:r>
        <w:rPr>
          <w:rFonts w:hint="eastAsia" w:ascii="SimHei" w:hAnsi="SimHei" w:eastAsia="SimHei" w:cs="SimSun"/>
          <w:kern w:val="0"/>
          <w:sz w:val="32"/>
          <w:szCs w:val="32"/>
        </w:rPr>
        <w:t>单位职责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SimSun" w:eastAsia="仿宋_GB2312" w:cs="SimSun"/>
          <w:color w:val="auto"/>
          <w:kern w:val="0"/>
          <w:sz w:val="32"/>
          <w:szCs w:val="32"/>
          <w:highlight w:val="none"/>
          <w:lang w:val="en-US" w:eastAsia="zh-CN"/>
        </w:rPr>
      </w:pPr>
      <w:r>
        <w:rPr>
          <w:rFonts w:hint="eastAsia" w:ascii="仿宋_GB2312" w:hAnsi="SimSun" w:eastAsia="仿宋_GB2312" w:cs="SimSun"/>
          <w:color w:val="auto"/>
          <w:kern w:val="0"/>
          <w:sz w:val="32"/>
          <w:szCs w:val="32"/>
          <w:highlight w:val="none"/>
          <w:lang w:val="en-US" w:eastAsia="zh-CN"/>
        </w:rPr>
        <w:t>(一)制定符合党的教育方针和国家教育法律法规的中学教育发展规划并抓好组织实施和落实工作。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SimSun" w:eastAsia="仿宋_GB2312" w:cs="SimSun"/>
          <w:color w:val="auto"/>
          <w:kern w:val="0"/>
          <w:sz w:val="32"/>
          <w:szCs w:val="32"/>
          <w:highlight w:val="none"/>
          <w:lang w:val="en-US" w:eastAsia="zh-CN"/>
        </w:rPr>
      </w:pPr>
      <w:r>
        <w:rPr>
          <w:rFonts w:hint="eastAsia" w:ascii="仿宋_GB2312" w:hAnsi="SimSun" w:eastAsia="仿宋_GB2312" w:cs="SimSun"/>
          <w:color w:val="auto"/>
          <w:kern w:val="0"/>
          <w:sz w:val="32"/>
          <w:szCs w:val="32"/>
          <w:highlight w:val="none"/>
          <w:lang w:val="en-US" w:eastAsia="zh-CN"/>
        </w:rPr>
        <w:t>(二)贯彻、执行教育法律法规和政策规定，坚持依法治教、依法治学。巩固提高“两基”工作成果和整体水平，配合教育局依法动员、组织适龄少年儿童入学，严格控制辍学，推进普及九年义务教育。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SimSun" w:eastAsia="仿宋_GB2312" w:cs="SimSun"/>
          <w:color w:val="auto"/>
          <w:kern w:val="0"/>
          <w:sz w:val="32"/>
          <w:szCs w:val="32"/>
          <w:highlight w:val="none"/>
          <w:lang w:val="en-US" w:eastAsia="zh-CN"/>
        </w:rPr>
      </w:pPr>
      <w:r>
        <w:rPr>
          <w:rFonts w:hint="eastAsia" w:ascii="仿宋_GB2312" w:hAnsi="SimSun" w:eastAsia="仿宋_GB2312" w:cs="SimSun"/>
          <w:color w:val="auto"/>
          <w:kern w:val="0"/>
          <w:sz w:val="32"/>
          <w:szCs w:val="32"/>
          <w:highlight w:val="none"/>
          <w:lang w:val="en-US" w:eastAsia="zh-CN"/>
        </w:rPr>
        <w:t>(三)指导、管理、检查、评价学校的教育教学工作，提高办学质量和办学效益。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SimSun" w:eastAsia="仿宋_GB2312" w:cs="SimSun"/>
          <w:color w:val="auto"/>
          <w:kern w:val="0"/>
          <w:sz w:val="32"/>
          <w:szCs w:val="32"/>
          <w:highlight w:val="none"/>
          <w:lang w:val="en-US" w:eastAsia="zh-CN"/>
        </w:rPr>
      </w:pPr>
      <w:r>
        <w:rPr>
          <w:rFonts w:hint="eastAsia" w:ascii="仿宋_GB2312" w:hAnsi="SimSun" w:eastAsia="仿宋_GB2312" w:cs="SimSun"/>
          <w:color w:val="auto"/>
          <w:kern w:val="0"/>
          <w:sz w:val="32"/>
          <w:szCs w:val="32"/>
          <w:highlight w:val="none"/>
          <w:lang w:val="en-US" w:eastAsia="zh-CN"/>
        </w:rPr>
        <w:t>(四)负责教育教学管理及教研教改工作，全力推进素质教育实施。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SimSun" w:eastAsia="仿宋_GB2312" w:cs="SimSun"/>
          <w:color w:val="auto"/>
          <w:kern w:val="0"/>
          <w:sz w:val="32"/>
          <w:szCs w:val="32"/>
          <w:highlight w:val="none"/>
          <w:lang w:val="en-US" w:eastAsia="zh-CN"/>
        </w:rPr>
      </w:pPr>
      <w:r>
        <w:rPr>
          <w:rFonts w:hint="eastAsia" w:ascii="仿宋_GB2312" w:hAnsi="SimSun" w:eastAsia="仿宋_GB2312" w:cs="SimSun"/>
          <w:color w:val="auto"/>
          <w:kern w:val="0"/>
          <w:sz w:val="32"/>
          <w:szCs w:val="32"/>
          <w:highlight w:val="none"/>
          <w:lang w:val="en-US" w:eastAsia="zh-CN"/>
        </w:rPr>
        <w:t>(五)协助上级教育主管部门做好学校教师考核工作，负责教师管理、继续教育、考核考评等工作。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SimSun" w:eastAsia="仿宋_GB2312" w:cs="SimSun"/>
          <w:color w:val="auto"/>
          <w:kern w:val="0"/>
          <w:sz w:val="32"/>
          <w:szCs w:val="32"/>
          <w:highlight w:val="none"/>
          <w:lang w:val="en-US" w:eastAsia="zh-CN"/>
        </w:rPr>
      </w:pPr>
      <w:r>
        <w:rPr>
          <w:rFonts w:hint="eastAsia" w:ascii="仿宋_GB2312" w:hAnsi="SimSun" w:eastAsia="仿宋_GB2312" w:cs="SimSun"/>
          <w:color w:val="auto"/>
          <w:kern w:val="0"/>
          <w:sz w:val="32"/>
          <w:szCs w:val="32"/>
          <w:highlight w:val="none"/>
          <w:lang w:val="en-US" w:eastAsia="zh-CN"/>
        </w:rPr>
        <w:t>(六)负责财务管理，筹措资金，改善办学条件等工作。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SimSun" w:eastAsia="仿宋_GB2312" w:cs="SimSun"/>
          <w:color w:val="auto"/>
          <w:kern w:val="0"/>
          <w:sz w:val="32"/>
          <w:szCs w:val="32"/>
          <w:highlight w:val="none"/>
          <w:lang w:val="en-US" w:eastAsia="zh-CN"/>
        </w:rPr>
      </w:pPr>
      <w:r>
        <w:rPr>
          <w:rFonts w:hint="eastAsia" w:ascii="仿宋_GB2312" w:hAnsi="SimSun" w:eastAsia="仿宋_GB2312" w:cs="SimSun"/>
          <w:color w:val="auto"/>
          <w:kern w:val="0"/>
          <w:sz w:val="32"/>
          <w:szCs w:val="32"/>
          <w:highlight w:val="none"/>
          <w:lang w:val="en-US" w:eastAsia="zh-CN"/>
        </w:rPr>
        <w:t>(七)完成教育主管部门和上级政府委托的各项工作任务。</w:t>
      </w:r>
    </w:p>
    <w:p>
      <w:pPr>
        <w:keepNext w:val="0"/>
        <w:keepLines w:val="0"/>
        <w:pageBreakBefore w:val="0"/>
        <w:kinsoku/>
        <w:wordWrap/>
        <w:overflowPunct/>
        <w:topLinePunct w:val="0"/>
        <w:autoSpaceDE/>
        <w:autoSpaceDN/>
        <w:bidi w:val="0"/>
        <w:spacing w:line="580" w:lineRule="exact"/>
        <w:ind w:firstLine="640" w:firstLineChars="200"/>
        <w:textAlignment w:val="auto"/>
        <w:rPr>
          <w:rFonts w:ascii="SimHei" w:hAnsi="SimHei" w:eastAsia="SimHei" w:cs="SimSun"/>
          <w:kern w:val="0"/>
          <w:sz w:val="32"/>
          <w:szCs w:val="32"/>
        </w:rPr>
      </w:pPr>
      <w:r>
        <w:rPr>
          <w:rFonts w:hint="eastAsia" w:ascii="SimHei" w:hAnsi="SimHei" w:eastAsia="SimHei" w:cs="SimSun"/>
          <w:kern w:val="0"/>
          <w:sz w:val="32"/>
          <w:szCs w:val="32"/>
        </w:rPr>
        <w:t>二、机构设置情况</w:t>
      </w:r>
    </w:p>
    <w:p>
      <w:pPr>
        <w:keepNext w:val="0"/>
        <w:keepLines w:val="0"/>
        <w:pageBreakBefore w:val="0"/>
        <w:kinsoku/>
        <w:wordWrap/>
        <w:overflowPunct/>
        <w:topLinePunct w:val="0"/>
        <w:autoSpaceDE/>
        <w:autoSpaceDN/>
        <w:bidi w:val="0"/>
        <w:spacing w:line="580" w:lineRule="exact"/>
        <w:ind w:firstLine="643" w:firstLineChars="200"/>
        <w:textAlignment w:val="auto"/>
        <w:rPr>
          <w:rFonts w:ascii="楷体_GB2312" w:hAnsi="KaiTi" w:eastAsia="楷体_GB2312" w:cs="SimSun"/>
          <w:b/>
          <w:bCs/>
          <w:kern w:val="0"/>
          <w:sz w:val="32"/>
          <w:szCs w:val="32"/>
        </w:rPr>
      </w:pPr>
      <w:r>
        <w:rPr>
          <w:rFonts w:hint="eastAsia" w:ascii="楷体_GB2312" w:hAnsi="KaiTi" w:eastAsia="楷体_GB2312" w:cs="SimSun"/>
          <w:b/>
          <w:bCs/>
          <w:kern w:val="0"/>
          <w:sz w:val="32"/>
          <w:szCs w:val="32"/>
        </w:rPr>
        <w:t>（一）机关内设机构</w:t>
      </w: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jc w:val="both"/>
        <w:textAlignment w:val="auto"/>
        <w:rPr>
          <w:rFonts w:hint="eastAsia" w:ascii="仿宋_GB2312" w:hAnsi="SimHei" w:eastAsia="仿宋_GB2312"/>
          <w:b/>
          <w:sz w:val="44"/>
          <w:szCs w:val="44"/>
        </w:rPr>
      </w:pPr>
      <w:r>
        <w:rPr>
          <w:rFonts w:hint="eastAsia" w:ascii="仿宋_GB2312" w:hAnsi="SimSun" w:eastAsia="仿宋_GB2312" w:cs="SimSun"/>
          <w:color w:val="auto"/>
          <w:kern w:val="0"/>
          <w:sz w:val="32"/>
          <w:szCs w:val="32"/>
          <w:highlight w:val="none"/>
          <w:lang w:val="en-US" w:eastAsia="zh-CN"/>
        </w:rPr>
        <w:t>根据上述职责，东乡族自治县第五中学内设7个职能处（委、室)：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SimSun" w:eastAsia="仿宋_GB2312" w:cs="SimSun"/>
          <w:color w:val="auto"/>
          <w:kern w:val="0"/>
          <w:sz w:val="32"/>
          <w:szCs w:val="32"/>
          <w:highlight w:val="none"/>
          <w:lang w:val="en-US" w:eastAsia="zh-CN"/>
        </w:rPr>
      </w:pPr>
      <w:r>
        <w:rPr>
          <w:rFonts w:hint="eastAsia" w:ascii="仿宋_GB2312" w:hAnsi="SimSun" w:eastAsia="仿宋_GB2312" w:cs="SimSun"/>
          <w:color w:val="auto"/>
          <w:kern w:val="0"/>
          <w:sz w:val="32"/>
          <w:szCs w:val="32"/>
          <w:highlight w:val="none"/>
          <w:lang w:val="en-US" w:eastAsia="zh-CN"/>
        </w:rPr>
        <w:t>(一)办公室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SimSun" w:eastAsia="仿宋_GB2312" w:cs="SimSun"/>
          <w:color w:val="auto"/>
          <w:kern w:val="0"/>
          <w:sz w:val="32"/>
          <w:szCs w:val="32"/>
          <w:highlight w:val="none"/>
          <w:lang w:val="en-US" w:eastAsia="zh-CN"/>
        </w:rPr>
      </w:pPr>
      <w:r>
        <w:rPr>
          <w:rFonts w:hint="eastAsia" w:ascii="仿宋_GB2312" w:hAnsi="SimSun" w:eastAsia="仿宋_GB2312" w:cs="SimSun"/>
          <w:color w:val="auto"/>
          <w:kern w:val="0"/>
          <w:sz w:val="32"/>
          <w:szCs w:val="32"/>
          <w:highlight w:val="none"/>
          <w:lang w:val="en-US" w:eastAsia="zh-CN"/>
        </w:rPr>
        <w:t>主要职责：负责文件、材料的拟定、收发、呈阅、催办和保管及学校印章的使用和保管；负责会议的通知、记录及教职工考勤工作；协调联络各校长、各处室、各年级组、教研组工作；负责教职工量化考核和年度考核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SimSun" w:eastAsia="仿宋_GB2312" w:cs="SimSun"/>
          <w:color w:val="auto"/>
          <w:kern w:val="0"/>
          <w:sz w:val="32"/>
          <w:szCs w:val="32"/>
          <w:highlight w:val="none"/>
          <w:lang w:val="en-US" w:eastAsia="zh-CN"/>
        </w:rPr>
      </w:pPr>
      <w:r>
        <w:rPr>
          <w:rFonts w:hint="eastAsia" w:ascii="仿宋_GB2312" w:hAnsi="SimSun" w:eastAsia="仿宋_GB2312" w:cs="SimSun"/>
          <w:color w:val="auto"/>
          <w:kern w:val="0"/>
          <w:sz w:val="32"/>
          <w:szCs w:val="32"/>
          <w:highlight w:val="none"/>
          <w:lang w:val="en-US" w:eastAsia="zh-CN"/>
        </w:rPr>
        <w:t>(二)教务处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SimSun" w:eastAsia="仿宋_GB2312" w:cs="SimSun"/>
          <w:color w:val="auto"/>
          <w:kern w:val="0"/>
          <w:sz w:val="32"/>
          <w:szCs w:val="32"/>
          <w:highlight w:val="none"/>
          <w:lang w:val="en-US" w:eastAsia="zh-CN"/>
        </w:rPr>
      </w:pPr>
      <w:r>
        <w:rPr>
          <w:rFonts w:hint="eastAsia" w:ascii="仿宋_GB2312" w:hAnsi="SimSun" w:eastAsia="仿宋_GB2312" w:cs="SimSun"/>
          <w:color w:val="auto"/>
          <w:kern w:val="0"/>
          <w:sz w:val="32"/>
          <w:szCs w:val="32"/>
          <w:highlight w:val="none"/>
          <w:lang w:val="en-US" w:eastAsia="zh-CN"/>
        </w:rPr>
        <w:t>主要职责：制定学校教学工作计划、检查及总结，安排课程、制定校历，组织召开学生、家长座谈会；加强教学常规管理，会同教研室组织教学工作检查和教学质量评估并提出指导性意见和建议；负责招生工作；做好学籍管理工作，依据有关规定做好各种档案的搜集整理归档工作；督促制定完善年级组计划，并按期检查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SimSun" w:eastAsia="仿宋_GB2312" w:cs="SimSun"/>
          <w:color w:val="auto"/>
          <w:kern w:val="0"/>
          <w:sz w:val="32"/>
          <w:szCs w:val="32"/>
          <w:highlight w:val="none"/>
          <w:lang w:val="en-US" w:eastAsia="zh-CN"/>
        </w:rPr>
      </w:pPr>
      <w:r>
        <w:rPr>
          <w:rFonts w:hint="eastAsia" w:ascii="仿宋_GB2312" w:hAnsi="SimSun" w:eastAsia="仿宋_GB2312" w:cs="SimSun"/>
          <w:color w:val="auto"/>
          <w:kern w:val="0"/>
          <w:sz w:val="32"/>
          <w:szCs w:val="32"/>
          <w:highlight w:val="none"/>
          <w:lang w:val="en-US" w:eastAsia="zh-CN"/>
        </w:rPr>
        <w:t>(三)教研室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SimSun" w:eastAsia="仿宋_GB2312" w:cs="SimSun"/>
          <w:color w:val="auto"/>
          <w:kern w:val="0"/>
          <w:sz w:val="32"/>
          <w:szCs w:val="32"/>
          <w:highlight w:val="none"/>
          <w:lang w:val="en-US" w:eastAsia="zh-CN"/>
        </w:rPr>
      </w:pPr>
      <w:r>
        <w:rPr>
          <w:rFonts w:hint="eastAsia" w:ascii="仿宋_GB2312" w:hAnsi="SimSun" w:eastAsia="仿宋_GB2312" w:cs="SimSun"/>
          <w:color w:val="auto"/>
          <w:kern w:val="0"/>
          <w:sz w:val="32"/>
          <w:szCs w:val="32"/>
          <w:highlight w:val="none"/>
          <w:lang w:val="en-US" w:eastAsia="zh-CN"/>
        </w:rPr>
        <w:t>主要职责：负责学校教研工作计划的研讨、制定和修订工作；定期组织任课教师分析教学情况，研究改进措施，以不断提高教学水平和教学质量；加强对教师的业务指导，经常深入课堂，掌握教学进程和教师授课情况，听取学生对教学的反映和意见；统筹安排各教研组教研活动计划，组织教师进行互听、互评课活动。积极开展校际交流、教学教研活动；负责编班工作，组织好各类考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SimSun" w:eastAsia="仿宋_GB2312" w:cs="SimSun"/>
          <w:color w:val="auto"/>
          <w:kern w:val="0"/>
          <w:sz w:val="32"/>
          <w:szCs w:val="32"/>
          <w:highlight w:val="none"/>
          <w:lang w:val="en-US" w:eastAsia="zh-CN"/>
        </w:rPr>
      </w:pPr>
      <w:r>
        <w:rPr>
          <w:rFonts w:hint="eastAsia" w:ascii="仿宋_GB2312" w:hAnsi="SimSun" w:eastAsia="仿宋_GB2312" w:cs="SimSun"/>
          <w:color w:val="auto"/>
          <w:kern w:val="0"/>
          <w:sz w:val="32"/>
          <w:szCs w:val="32"/>
          <w:highlight w:val="none"/>
          <w:lang w:val="en-US" w:eastAsia="zh-CN"/>
        </w:rPr>
        <w:t>(四)政教处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SimSun" w:eastAsia="仿宋_GB2312" w:cs="SimSun"/>
          <w:color w:val="auto"/>
          <w:kern w:val="0"/>
          <w:sz w:val="32"/>
          <w:szCs w:val="32"/>
          <w:highlight w:val="none"/>
          <w:lang w:val="en-US" w:eastAsia="zh-CN"/>
        </w:rPr>
      </w:pPr>
      <w:r>
        <w:rPr>
          <w:rFonts w:hint="eastAsia" w:ascii="仿宋_GB2312" w:hAnsi="SimSun" w:eastAsia="仿宋_GB2312" w:cs="SimSun"/>
          <w:color w:val="auto"/>
          <w:kern w:val="0"/>
          <w:sz w:val="32"/>
          <w:szCs w:val="32"/>
          <w:highlight w:val="none"/>
          <w:lang w:val="en-US" w:eastAsia="zh-CN"/>
        </w:rPr>
        <w:t>主要职责：协助学校党支部具体工作的落实，组织教职工政治学习，制定相应的学习制度，做好相关记录；帮助班主任搞好学生思想教育和管理工作；负责学生的纪律管理，对学生违纪事件的处理，并做好因违纪给予处分学生的登记建档工作；负责贫困生救助方面的各项工作；负责优秀学生干部、三好学生及先进班集体的评定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SimSun" w:eastAsia="仿宋_GB2312" w:cs="SimSun"/>
          <w:color w:val="auto"/>
          <w:kern w:val="0"/>
          <w:sz w:val="32"/>
          <w:szCs w:val="32"/>
          <w:highlight w:val="none"/>
          <w:lang w:val="en-US" w:eastAsia="zh-CN"/>
        </w:rPr>
      </w:pPr>
      <w:r>
        <w:rPr>
          <w:rFonts w:hint="eastAsia" w:ascii="仿宋_GB2312" w:hAnsi="SimSun" w:eastAsia="仿宋_GB2312" w:cs="SimSun"/>
          <w:color w:val="auto"/>
          <w:kern w:val="0"/>
          <w:sz w:val="32"/>
          <w:szCs w:val="32"/>
          <w:highlight w:val="none"/>
          <w:lang w:val="en-US" w:eastAsia="zh-CN"/>
        </w:rPr>
        <w:t>（五)纪检室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SimSun" w:eastAsia="仿宋_GB2312" w:cs="SimSun"/>
          <w:color w:val="auto"/>
          <w:kern w:val="0"/>
          <w:sz w:val="32"/>
          <w:szCs w:val="32"/>
          <w:highlight w:val="none"/>
          <w:lang w:val="en-US" w:eastAsia="zh-CN"/>
        </w:rPr>
      </w:pPr>
      <w:r>
        <w:rPr>
          <w:rFonts w:hint="eastAsia" w:ascii="仿宋_GB2312" w:hAnsi="SimSun" w:eastAsia="仿宋_GB2312" w:cs="SimSun"/>
          <w:color w:val="auto"/>
          <w:kern w:val="0"/>
          <w:sz w:val="32"/>
          <w:szCs w:val="32"/>
          <w:highlight w:val="none"/>
          <w:lang w:val="en-US" w:eastAsia="zh-CN"/>
        </w:rPr>
        <w:t>主要职责：负责学校党务、校务、财务公开和相关决策制度执行情况的监督；对师生、家长反映的热点问题进行协调和反馈。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SimSun" w:eastAsia="仿宋_GB2312" w:cs="SimSun"/>
          <w:color w:val="auto"/>
          <w:kern w:val="0"/>
          <w:sz w:val="32"/>
          <w:szCs w:val="32"/>
          <w:highlight w:val="none"/>
          <w:lang w:val="en-US" w:eastAsia="zh-CN"/>
        </w:rPr>
      </w:pPr>
      <w:r>
        <w:rPr>
          <w:rFonts w:hint="eastAsia" w:ascii="仿宋_GB2312" w:hAnsi="SimSun" w:eastAsia="仿宋_GB2312" w:cs="SimSun"/>
          <w:color w:val="auto"/>
          <w:kern w:val="0"/>
          <w:sz w:val="32"/>
          <w:szCs w:val="32"/>
          <w:highlight w:val="none"/>
          <w:lang w:val="en-US" w:eastAsia="zh-CN"/>
        </w:rPr>
        <w:t>(六)团委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SimSun" w:eastAsia="仿宋_GB2312" w:cs="SimSun"/>
          <w:color w:val="auto"/>
          <w:kern w:val="0"/>
          <w:sz w:val="32"/>
          <w:szCs w:val="32"/>
          <w:highlight w:val="none"/>
          <w:lang w:val="en-US" w:eastAsia="zh-CN"/>
        </w:rPr>
      </w:pPr>
      <w:r>
        <w:rPr>
          <w:rFonts w:hint="eastAsia" w:ascii="仿宋_GB2312" w:hAnsi="SimSun" w:eastAsia="仿宋_GB2312" w:cs="SimSun"/>
          <w:color w:val="auto"/>
          <w:kern w:val="0"/>
          <w:sz w:val="32"/>
          <w:szCs w:val="32"/>
          <w:highlight w:val="none"/>
          <w:lang w:val="en-US" w:eastAsia="zh-CN"/>
        </w:rPr>
        <w:t>主要职责：传达学习党组织和上级团组织的决议，负责学校团委日常工作；制定团委工作计划，健全基层组织，完善有关规章制度；了解和掌握团员的思想动态和学习情况、针对性的做好思想政治工作；组织开展各种竞赛和文体活动及其他社会实践活动；组织开播校园广播，负责组织升国旗仪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SimSun" w:eastAsia="仿宋_GB2312" w:cs="SimSun"/>
          <w:color w:val="auto"/>
          <w:kern w:val="0"/>
          <w:sz w:val="32"/>
          <w:szCs w:val="32"/>
          <w:highlight w:val="none"/>
          <w:lang w:val="en-US" w:eastAsia="zh-CN"/>
        </w:rPr>
      </w:pPr>
      <w:r>
        <w:rPr>
          <w:rFonts w:hint="eastAsia" w:ascii="仿宋_GB2312" w:hAnsi="SimSun" w:eastAsia="仿宋_GB2312" w:cs="SimSun"/>
          <w:color w:val="auto"/>
          <w:kern w:val="0"/>
          <w:sz w:val="32"/>
          <w:szCs w:val="32"/>
          <w:highlight w:val="none"/>
          <w:lang w:val="en-US" w:eastAsia="zh-CN"/>
        </w:rPr>
        <w:t>(七)总务处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FangSong" w:eastAsia="仿宋_GB2312" w:cs="SimSun"/>
          <w:kern w:val="0"/>
          <w:sz w:val="32"/>
          <w:szCs w:val="32"/>
        </w:rPr>
      </w:pPr>
      <w:r>
        <w:rPr>
          <w:rFonts w:hint="eastAsia" w:ascii="仿宋_GB2312" w:hAnsi="SimSun" w:eastAsia="仿宋_GB2312" w:cs="SimSun"/>
          <w:color w:val="auto"/>
          <w:kern w:val="0"/>
          <w:sz w:val="32"/>
          <w:szCs w:val="32"/>
          <w:highlight w:val="none"/>
          <w:lang w:val="en-US" w:eastAsia="zh-CN"/>
        </w:rPr>
        <w:t>主要职责：负责学校后勤工作；负责各类校产的登记、使用及管理工作；负责办公及教学用品的购置、发放和管理工作；抓好后勤人员的管理工作，以不断提高后勤服务工作水平；管理和维护好水、电、暖等的供给维修工作，保障各项工作高效运转。</w:t>
      </w:r>
    </w:p>
    <w:p>
      <w:pPr>
        <w:keepNext w:val="0"/>
        <w:keepLines w:val="0"/>
        <w:pageBreakBefore w:val="0"/>
        <w:kinsoku/>
        <w:wordWrap/>
        <w:overflowPunct/>
        <w:topLinePunct w:val="0"/>
        <w:autoSpaceDE/>
        <w:autoSpaceDN/>
        <w:bidi w:val="0"/>
        <w:spacing w:line="580" w:lineRule="exact"/>
        <w:ind w:firstLine="640" w:firstLineChars="200"/>
        <w:textAlignment w:val="auto"/>
        <w:rPr>
          <w:rFonts w:ascii="SimHei" w:hAnsi="SimHei" w:eastAsia="SimHei" w:cs="SimSun"/>
          <w:kern w:val="0"/>
          <w:sz w:val="32"/>
          <w:szCs w:val="32"/>
        </w:rPr>
      </w:pPr>
      <w:r>
        <w:rPr>
          <w:rFonts w:hint="eastAsia" w:ascii="SimHei" w:hAnsi="SimHei" w:eastAsia="SimHei" w:cs="SimSun"/>
          <w:kern w:val="0"/>
          <w:sz w:val="32"/>
          <w:szCs w:val="32"/>
        </w:rPr>
        <w:t>三、单位收支总体情况</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FangSong" w:eastAsia="仿宋_GB2312" w:cs="SimSun"/>
          <w:kern w:val="0"/>
          <w:sz w:val="32"/>
          <w:szCs w:val="32"/>
        </w:rPr>
      </w:pPr>
      <w:r>
        <w:rPr>
          <w:rFonts w:hint="eastAsia" w:ascii="仿宋_GB2312" w:hAnsi="FangSong" w:eastAsia="仿宋_GB2312" w:cs="SimSun"/>
          <w:kern w:val="0"/>
          <w:sz w:val="32"/>
          <w:szCs w:val="32"/>
        </w:rPr>
        <w:t>按照预算管理有关规定，2024年单位收支包括机关预算和直属单位预算在内的汇总情况。</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FangSong" w:eastAsia="仿宋_GB2312" w:cs="SimSun"/>
          <w:kern w:val="0"/>
          <w:sz w:val="32"/>
          <w:szCs w:val="32"/>
        </w:rPr>
      </w:pPr>
      <w:r>
        <w:rPr>
          <w:rFonts w:hint="eastAsia" w:ascii="仿宋_GB2312" w:hAnsi="FangSong" w:eastAsia="仿宋_GB2312" w:cs="SimSun"/>
          <w:kern w:val="0"/>
          <w:sz w:val="32"/>
          <w:szCs w:val="32"/>
        </w:rPr>
        <w:t>2024年</w:t>
      </w:r>
      <w:r>
        <w:rPr>
          <w:rFonts w:hint="eastAsia" w:ascii="仿宋_GB2312" w:hAnsi="FangSong" w:eastAsia="仿宋_GB2312" w:cs="SimSun"/>
          <w:kern w:val="0"/>
          <w:sz w:val="32"/>
          <w:szCs w:val="32"/>
          <w:lang w:val="en-US" w:eastAsia="zh-CN"/>
        </w:rPr>
        <w:t>单位</w:t>
      </w:r>
      <w:r>
        <w:rPr>
          <w:rFonts w:hint="eastAsia" w:ascii="仿宋_GB2312" w:hAnsi="FangSong" w:eastAsia="仿宋_GB2312" w:cs="SimSun"/>
          <w:kern w:val="0"/>
          <w:sz w:val="32"/>
          <w:szCs w:val="32"/>
        </w:rPr>
        <w:t>收支总预算</w:t>
      </w:r>
      <w:r>
        <w:rPr>
          <w:rFonts w:hint="eastAsia" w:ascii="仿宋_GB2312" w:hAnsi="FangSong" w:eastAsia="仿宋_GB2312" w:cs="SimSun"/>
          <w:kern w:val="0"/>
          <w:sz w:val="32"/>
          <w:szCs w:val="32"/>
          <w:lang w:val="en-US" w:eastAsia="zh-CN"/>
        </w:rPr>
        <w:t>1097.41</w:t>
      </w:r>
      <w:r>
        <w:rPr>
          <w:rFonts w:hint="eastAsia" w:ascii="仿宋_GB2312" w:hAnsi="FangSong" w:eastAsia="仿宋_GB2312" w:cs="SimSun"/>
          <w:kern w:val="0"/>
          <w:sz w:val="32"/>
          <w:szCs w:val="32"/>
        </w:rPr>
        <w:t>万元。按照综合预算的原则，单位所有收入和支出均纳入部门预算管理。收入包括：一般公共预算拨款收入、政府性基金预算拨款收入、事业收入、事业单位经营收入、其他收入、使用非财政拨款结余、上年结转；支出包括：一般公共服务支出、公共安全支出、教育支出、科学技术支出、社会保障和就业支出、卫生健康支出、交通运输支出、住房保障支出、其他支出。</w:t>
      </w:r>
    </w:p>
    <w:p>
      <w:pPr>
        <w:keepNext w:val="0"/>
        <w:keepLines w:val="0"/>
        <w:pageBreakBefore w:val="0"/>
        <w:kinsoku/>
        <w:wordWrap/>
        <w:overflowPunct/>
        <w:topLinePunct w:val="0"/>
        <w:autoSpaceDE/>
        <w:autoSpaceDN/>
        <w:bidi w:val="0"/>
        <w:spacing w:line="580" w:lineRule="exact"/>
        <w:ind w:firstLine="643" w:firstLineChars="200"/>
        <w:textAlignment w:val="auto"/>
        <w:rPr>
          <w:rFonts w:ascii="楷体_GB2312" w:hAnsi="KaiTi" w:eastAsia="楷体_GB2312"/>
          <w:sz w:val="32"/>
          <w:szCs w:val="32"/>
        </w:rPr>
      </w:pPr>
      <w:r>
        <w:rPr>
          <w:rFonts w:hint="eastAsia" w:ascii="楷体_GB2312" w:hAnsi="KaiTi" w:eastAsia="楷体_GB2312" w:cs="SimSun"/>
          <w:b/>
          <w:bCs/>
          <w:kern w:val="0"/>
          <w:sz w:val="32"/>
          <w:szCs w:val="32"/>
        </w:rPr>
        <w:t>（一）收入预算</w:t>
      </w:r>
    </w:p>
    <w:p>
      <w:pPr>
        <w:keepNext w:val="0"/>
        <w:keepLines w:val="0"/>
        <w:pageBreakBefore w:val="0"/>
        <w:widowControl/>
        <w:kinsoku/>
        <w:wordWrap/>
        <w:overflowPunct/>
        <w:topLinePunct w:val="0"/>
        <w:autoSpaceDE/>
        <w:autoSpaceDN/>
        <w:bidi w:val="0"/>
        <w:spacing w:line="580" w:lineRule="exact"/>
        <w:ind w:firstLine="640" w:firstLineChars="200"/>
        <w:jc w:val="left"/>
        <w:textAlignment w:val="auto"/>
        <w:rPr>
          <w:rFonts w:ascii="仿宋_GB2312" w:hAnsi="FangSong" w:eastAsia="仿宋_GB2312"/>
          <w:sz w:val="32"/>
          <w:szCs w:val="32"/>
        </w:rPr>
      </w:pPr>
      <w:r>
        <w:rPr>
          <w:rFonts w:hint="eastAsia" w:ascii="仿宋_GB2312" w:hAnsi="FangSong" w:eastAsia="仿宋_GB2312"/>
          <w:sz w:val="32"/>
          <w:szCs w:val="32"/>
        </w:rPr>
        <w:t>2024年收入预算</w:t>
      </w:r>
      <w:r>
        <w:rPr>
          <w:rFonts w:hint="eastAsia" w:ascii="仿宋_GB2312" w:hAnsi="FangSong" w:eastAsia="仿宋_GB2312"/>
          <w:sz w:val="32"/>
          <w:szCs w:val="32"/>
          <w:lang w:val="en-US" w:eastAsia="zh-CN"/>
        </w:rPr>
        <w:t>1097.41</w:t>
      </w:r>
      <w:r>
        <w:rPr>
          <w:rFonts w:hint="eastAsia" w:ascii="仿宋_GB2312" w:hAnsi="FangSong" w:eastAsia="仿宋_GB2312"/>
          <w:sz w:val="32"/>
          <w:szCs w:val="32"/>
        </w:rPr>
        <w:t>万元（单位预算公开表1,2）。包括：</w:t>
      </w:r>
    </w:p>
    <w:p>
      <w:pPr>
        <w:keepNext w:val="0"/>
        <w:keepLines w:val="0"/>
        <w:pageBreakBefore w:val="0"/>
        <w:widowControl/>
        <w:kinsoku/>
        <w:wordWrap/>
        <w:overflowPunct/>
        <w:topLinePunct w:val="0"/>
        <w:autoSpaceDE/>
        <w:autoSpaceDN/>
        <w:bidi w:val="0"/>
        <w:spacing w:line="580" w:lineRule="exact"/>
        <w:ind w:firstLine="640" w:firstLineChars="200"/>
        <w:jc w:val="left"/>
        <w:textAlignment w:val="auto"/>
        <w:rPr>
          <w:rFonts w:hint="eastAsia" w:ascii="仿宋_GB2312" w:hAnsi="FangSong" w:eastAsia="仿宋_GB2312"/>
          <w:sz w:val="32"/>
          <w:szCs w:val="32"/>
          <w:lang w:eastAsia="zh-CN"/>
        </w:rPr>
      </w:pPr>
      <w:r>
        <w:rPr>
          <w:rFonts w:hint="eastAsia" w:ascii="仿宋_GB2312" w:hAnsi="FangSong" w:eastAsia="仿宋_GB2312"/>
          <w:sz w:val="32"/>
          <w:szCs w:val="32"/>
        </w:rPr>
        <w:t>一般公共预算收入</w:t>
      </w:r>
      <w:r>
        <w:rPr>
          <w:rFonts w:hint="eastAsia" w:ascii="仿宋_GB2312" w:hAnsi="FangSong" w:eastAsia="仿宋_GB2312"/>
          <w:sz w:val="32"/>
          <w:szCs w:val="32"/>
          <w:lang w:val="en-US" w:eastAsia="zh-CN"/>
        </w:rPr>
        <w:t>1097.41</w:t>
      </w:r>
      <w:r>
        <w:rPr>
          <w:rFonts w:hint="eastAsia" w:ascii="仿宋_GB2312" w:hAnsi="FangSong" w:eastAsia="仿宋_GB2312"/>
          <w:sz w:val="32"/>
          <w:szCs w:val="32"/>
        </w:rPr>
        <w:t>万元，占</w:t>
      </w:r>
      <w:r>
        <w:rPr>
          <w:rFonts w:hint="eastAsia" w:ascii="仿宋_GB2312" w:hAnsi="FangSong" w:eastAsia="仿宋_GB2312"/>
          <w:sz w:val="32"/>
          <w:szCs w:val="32"/>
          <w:lang w:val="en-US" w:eastAsia="zh-CN"/>
        </w:rPr>
        <w:t>100</w:t>
      </w:r>
      <w:r>
        <w:rPr>
          <w:rFonts w:hint="eastAsia" w:ascii="仿宋_GB2312" w:hAnsi="FangSong" w:eastAsia="仿宋_GB2312"/>
          <w:sz w:val="32"/>
          <w:szCs w:val="32"/>
        </w:rPr>
        <w:t>%</w:t>
      </w:r>
      <w:r>
        <w:rPr>
          <w:rFonts w:hint="eastAsia" w:ascii="仿宋_GB2312" w:hAnsi="FangSong" w:eastAsia="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textAlignment w:val="auto"/>
        <w:rPr>
          <w:rFonts w:ascii="楷体_GB2312" w:hAnsi="KaiTi" w:eastAsia="楷体_GB2312" w:cs="SimSun"/>
          <w:b/>
          <w:bCs/>
          <w:kern w:val="0"/>
          <w:sz w:val="32"/>
          <w:szCs w:val="32"/>
        </w:rPr>
      </w:pPr>
      <w:r>
        <w:rPr>
          <w:rFonts w:hint="eastAsia" w:ascii="楷体_GB2312" w:hAnsi="KaiTi" w:eastAsia="楷体_GB2312" w:cs="SimSun"/>
          <w:b/>
          <w:bCs/>
          <w:kern w:val="0"/>
          <w:sz w:val="32"/>
          <w:szCs w:val="32"/>
        </w:rPr>
        <w:t>（二）支出预算</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仿宋_GB2312" w:hAnsi="FangSong" w:eastAsia="仿宋_GB2312"/>
          <w:sz w:val="32"/>
          <w:szCs w:val="32"/>
          <w:lang w:eastAsia="zh-CN"/>
        </w:rPr>
      </w:pPr>
      <w:r>
        <w:rPr>
          <w:rFonts w:hint="eastAsia" w:ascii="仿宋_GB2312" w:hAnsi="FangSong" w:eastAsia="仿宋_GB2312"/>
          <w:sz w:val="32"/>
          <w:szCs w:val="32"/>
        </w:rPr>
        <w:t>2024年支出预算</w:t>
      </w:r>
      <w:r>
        <w:rPr>
          <w:rFonts w:hint="eastAsia" w:ascii="仿宋_GB2312" w:hAnsi="FangSong" w:eastAsia="仿宋_GB2312"/>
          <w:sz w:val="32"/>
          <w:szCs w:val="32"/>
          <w:lang w:val="en-US" w:eastAsia="zh-CN"/>
        </w:rPr>
        <w:t>1097.41</w:t>
      </w:r>
      <w:r>
        <w:rPr>
          <w:rFonts w:hint="eastAsia" w:ascii="仿宋_GB2312" w:hAnsi="FangSong" w:eastAsia="仿宋_GB2312"/>
          <w:sz w:val="32"/>
          <w:szCs w:val="32"/>
        </w:rPr>
        <w:t>万元（详见单位预算公开表3）。</w:t>
      </w:r>
      <w:r>
        <w:rPr>
          <w:rStyle w:val="20"/>
          <w:rFonts w:hint="default" w:hAnsi="FangSong"/>
        </w:rPr>
        <w:t>其中：基本支出</w:t>
      </w:r>
      <w:r>
        <w:rPr>
          <w:rStyle w:val="21"/>
          <w:rFonts w:hint="eastAsia" w:ascii="仿宋_GB2312" w:hAnsi="FangSong" w:eastAsia="仿宋_GB2312"/>
          <w:lang w:val="en-US" w:eastAsia="zh-CN"/>
        </w:rPr>
        <w:t>1097.41</w:t>
      </w:r>
      <w:r>
        <w:rPr>
          <w:rStyle w:val="20"/>
          <w:rFonts w:hint="default" w:hAnsi="FangSong"/>
        </w:rPr>
        <w:t>万元，占</w:t>
      </w:r>
      <w:r>
        <w:rPr>
          <w:rStyle w:val="20"/>
          <w:rFonts w:hint="eastAsia" w:hAnsi="FangSong" w:eastAsia="仿宋_GB2312"/>
          <w:lang w:val="en-US" w:eastAsia="zh-CN"/>
        </w:rPr>
        <w:t>100</w:t>
      </w:r>
      <w:r>
        <w:rPr>
          <w:rStyle w:val="21"/>
          <w:rFonts w:hint="eastAsia" w:ascii="仿宋_GB2312" w:hAnsi="FangSong" w:eastAsia="仿宋_GB2312"/>
        </w:rPr>
        <w:t>%</w:t>
      </w:r>
      <w:r>
        <w:rPr>
          <w:rStyle w:val="21"/>
          <w:rFonts w:hint="eastAsia" w:ascii="仿宋_GB2312" w:hAnsi="FangSong" w:eastAsia="仿宋_GB2312"/>
          <w:lang w:eastAsia="zh-CN"/>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contextualSpacing/>
        <w:textAlignment w:val="auto"/>
        <w:rPr>
          <w:rFonts w:ascii="SimHei" w:hAnsi="SimHei" w:eastAsia="SimHei" w:cs="SimSun"/>
          <w:kern w:val="0"/>
          <w:sz w:val="32"/>
          <w:szCs w:val="32"/>
        </w:rPr>
      </w:pPr>
      <w:r>
        <w:rPr>
          <w:rFonts w:hint="eastAsia" w:ascii="SimHei" w:hAnsi="SimHei" w:eastAsia="SimHei" w:cs="SimSun"/>
          <w:kern w:val="0"/>
          <w:sz w:val="32"/>
          <w:szCs w:val="32"/>
        </w:rPr>
        <w:t>四、一般公共预算情况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仿宋_GB2312" w:hAnsi="FangSong" w:eastAsia="仿宋_GB2312"/>
          <w:sz w:val="32"/>
          <w:szCs w:val="32"/>
          <w:lang w:eastAsia="zh-CN"/>
        </w:rPr>
      </w:pPr>
      <w:r>
        <w:rPr>
          <w:rStyle w:val="21"/>
          <w:rFonts w:hint="eastAsia" w:ascii="仿宋_GB2312" w:hAnsi="FangSong" w:eastAsia="仿宋_GB2312"/>
        </w:rPr>
        <w:t>2024</w:t>
      </w:r>
      <w:r>
        <w:rPr>
          <w:rStyle w:val="20"/>
          <w:rFonts w:hint="default" w:hAnsi="FangSong"/>
        </w:rPr>
        <w:t>年一般公共预算当年支出</w:t>
      </w:r>
      <w:r>
        <w:rPr>
          <w:rStyle w:val="20"/>
          <w:rFonts w:hint="eastAsia" w:hAnsi="FangSong" w:eastAsia="仿宋_GB2312"/>
          <w:lang w:val="en-US" w:eastAsia="zh-CN"/>
        </w:rPr>
        <w:t>1097.41</w:t>
      </w:r>
      <w:r>
        <w:rPr>
          <w:rStyle w:val="20"/>
          <w:rFonts w:hint="default" w:hAnsi="FangSong"/>
        </w:rPr>
        <w:t>万元，包括：一般公共服务支出</w:t>
      </w:r>
      <w:r>
        <w:rPr>
          <w:rStyle w:val="20"/>
          <w:rFonts w:hint="eastAsia" w:hAnsi="FangSong" w:eastAsia="仿宋_GB2312"/>
          <w:lang w:val="en-US" w:eastAsia="zh-CN"/>
        </w:rPr>
        <w:t>13.42</w:t>
      </w:r>
      <w:r>
        <w:rPr>
          <w:rStyle w:val="20"/>
          <w:rFonts w:hint="default" w:hAnsi="FangSong"/>
        </w:rPr>
        <w:t>万元、教育支出</w:t>
      </w:r>
      <w:r>
        <w:rPr>
          <w:rStyle w:val="20"/>
          <w:rFonts w:hint="eastAsia" w:hAnsi="FangSong" w:eastAsia="仿宋_GB2312"/>
          <w:lang w:val="en-US" w:eastAsia="zh-CN"/>
        </w:rPr>
        <w:t>832.01</w:t>
      </w:r>
      <w:r>
        <w:rPr>
          <w:rStyle w:val="20"/>
          <w:rFonts w:hint="default" w:hAnsi="FangSong"/>
        </w:rPr>
        <w:t>万元、社会保障和就业支出</w:t>
      </w:r>
      <w:r>
        <w:rPr>
          <w:rStyle w:val="20"/>
          <w:rFonts w:hint="eastAsia" w:hAnsi="FangSong" w:eastAsia="仿宋_GB2312"/>
          <w:lang w:val="en-US" w:eastAsia="zh-CN"/>
        </w:rPr>
        <w:t>110.88</w:t>
      </w:r>
      <w:r>
        <w:rPr>
          <w:rStyle w:val="20"/>
          <w:rFonts w:hint="default" w:hAnsi="FangSong"/>
        </w:rPr>
        <w:t>万元、卫生健康支出</w:t>
      </w:r>
      <w:r>
        <w:rPr>
          <w:rStyle w:val="20"/>
          <w:rFonts w:hint="eastAsia" w:hAnsi="FangSong" w:eastAsia="仿宋_GB2312"/>
          <w:lang w:val="en-US" w:eastAsia="zh-CN"/>
        </w:rPr>
        <w:t>58.96万元、住房保障支出82.14万元，</w:t>
      </w:r>
      <w:r>
        <w:rPr>
          <w:rFonts w:hint="eastAsia" w:ascii="仿宋_GB2312" w:hAnsi="FangSong" w:eastAsia="仿宋_GB2312"/>
          <w:sz w:val="32"/>
          <w:szCs w:val="32"/>
        </w:rPr>
        <w:t>具体安排情况如下</w:t>
      </w:r>
      <w:r>
        <w:rPr>
          <w:rFonts w:hint="eastAsia" w:ascii="仿宋_GB2312" w:hAnsi="Microsoft YaHei" w:eastAsia="仿宋_GB2312"/>
          <w:sz w:val="32"/>
          <w:szCs w:val="32"/>
        </w:rPr>
        <w:t>（详见单位预算公开表4,5,6,7）</w:t>
      </w:r>
      <w:r>
        <w:rPr>
          <w:rFonts w:hint="eastAsia" w:ascii="仿宋_GB2312" w:hAnsi="Microsoft YaHei" w:eastAsia="仿宋_GB2312"/>
          <w:sz w:val="32"/>
          <w:szCs w:val="32"/>
          <w:lang w:eastAsia="zh-CN"/>
        </w:rPr>
        <w:t>。</w:t>
      </w:r>
    </w:p>
    <w:p>
      <w:pPr>
        <w:keepNext w:val="0"/>
        <w:keepLines w:val="0"/>
        <w:pageBreakBefore w:val="0"/>
        <w:kinsoku/>
        <w:wordWrap/>
        <w:overflowPunct/>
        <w:topLinePunct w:val="0"/>
        <w:autoSpaceDE/>
        <w:autoSpaceDN/>
        <w:bidi w:val="0"/>
        <w:spacing w:line="580" w:lineRule="exact"/>
        <w:ind w:firstLine="643" w:firstLineChars="200"/>
        <w:contextualSpacing/>
        <w:textAlignment w:val="auto"/>
        <w:rPr>
          <w:rFonts w:ascii="楷体_GB2312" w:hAnsi="KaiTi" w:eastAsia="楷体_GB2312" w:cs="SimSun"/>
          <w:b/>
          <w:bCs/>
          <w:kern w:val="0"/>
          <w:sz w:val="32"/>
          <w:szCs w:val="32"/>
        </w:rPr>
      </w:pPr>
      <w:r>
        <w:rPr>
          <w:rFonts w:hint="eastAsia" w:ascii="楷体_GB2312" w:hAnsi="KaiTi" w:eastAsia="楷体_GB2312" w:cs="SimSun"/>
          <w:b/>
          <w:bCs/>
          <w:kern w:val="0"/>
          <w:sz w:val="32"/>
          <w:szCs w:val="32"/>
        </w:rPr>
        <w:t>（一）基本支出</w:t>
      </w:r>
    </w:p>
    <w:p>
      <w:pPr>
        <w:keepNext w:val="0"/>
        <w:keepLines w:val="0"/>
        <w:pageBreakBefore w:val="0"/>
        <w:widowControl/>
        <w:kinsoku/>
        <w:wordWrap/>
        <w:overflowPunct/>
        <w:topLinePunct w:val="0"/>
        <w:autoSpaceDE/>
        <w:autoSpaceDN/>
        <w:bidi w:val="0"/>
        <w:spacing w:line="580" w:lineRule="exact"/>
        <w:ind w:firstLine="640" w:firstLineChars="200"/>
        <w:contextualSpacing/>
        <w:jc w:val="left"/>
        <w:textAlignment w:val="auto"/>
        <w:rPr>
          <w:rFonts w:hint="default" w:ascii="仿宋_GB2312" w:hAnsi="FangSong" w:eastAsia="仿宋_GB2312"/>
          <w:sz w:val="32"/>
          <w:szCs w:val="32"/>
          <w:lang w:val="en-US" w:eastAsia="zh-CN"/>
        </w:rPr>
      </w:pPr>
      <w:r>
        <w:rPr>
          <w:rFonts w:hint="eastAsia" w:ascii="仿宋_GB2312" w:hAnsi="FangSong" w:eastAsia="仿宋_GB2312"/>
          <w:sz w:val="32"/>
          <w:szCs w:val="32"/>
        </w:rPr>
        <w:t>2024年基本支出</w:t>
      </w:r>
      <w:r>
        <w:rPr>
          <w:rFonts w:hint="eastAsia" w:ascii="仿宋_GB2312" w:hAnsi="FangSong" w:eastAsia="仿宋_GB2312"/>
          <w:sz w:val="32"/>
          <w:szCs w:val="32"/>
          <w:lang w:val="en-US" w:eastAsia="zh-CN"/>
        </w:rPr>
        <w:t>1097.41</w:t>
      </w:r>
      <w:r>
        <w:rPr>
          <w:rFonts w:hint="eastAsia" w:ascii="仿宋_GB2312" w:hAnsi="FangSong" w:eastAsia="仿宋_GB2312"/>
          <w:sz w:val="32"/>
          <w:szCs w:val="32"/>
        </w:rPr>
        <w:t>万元，比2023年预算增加</w:t>
      </w:r>
      <w:r>
        <w:rPr>
          <w:rFonts w:hint="eastAsia" w:ascii="仿宋_GB2312" w:hAnsi="FangSong" w:eastAsia="仿宋_GB2312"/>
          <w:sz w:val="32"/>
          <w:szCs w:val="32"/>
          <w:lang w:val="en-US" w:eastAsia="zh-CN"/>
        </w:rPr>
        <w:t>258.93</w:t>
      </w:r>
      <w:r>
        <w:rPr>
          <w:rFonts w:hint="eastAsia" w:ascii="仿宋_GB2312" w:hAnsi="FangSong" w:eastAsia="仿宋_GB2312"/>
          <w:sz w:val="32"/>
          <w:szCs w:val="32"/>
        </w:rPr>
        <w:t>万元，增长</w:t>
      </w:r>
      <w:r>
        <w:rPr>
          <w:rFonts w:hint="eastAsia" w:ascii="仿宋_GB2312" w:hAnsi="FangSong" w:eastAsia="仿宋_GB2312"/>
          <w:sz w:val="32"/>
          <w:szCs w:val="32"/>
          <w:lang w:val="en-US" w:eastAsia="zh-CN"/>
        </w:rPr>
        <w:t>30</w:t>
      </w:r>
      <w:r>
        <w:rPr>
          <w:rFonts w:hint="eastAsia" w:ascii="仿宋_GB2312" w:hAnsi="FangSong" w:eastAsia="仿宋_GB2312"/>
          <w:sz w:val="32"/>
          <w:szCs w:val="32"/>
        </w:rPr>
        <w:t>%，增长的主要原因</w:t>
      </w:r>
      <w:r>
        <w:rPr>
          <w:rFonts w:hint="eastAsia" w:ascii="仿宋_GB2312" w:hAnsi="FangSong" w:eastAsia="仿宋_GB2312"/>
          <w:sz w:val="32"/>
          <w:szCs w:val="32"/>
          <w:lang w:val="en-US" w:eastAsia="zh-CN"/>
        </w:rPr>
        <w:t>是教师数增加，人员经费增加。</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ascii="仿宋_GB2312" w:hAnsi="FangSong" w:eastAsia="仿宋_GB2312"/>
          <w:sz w:val="32"/>
          <w:szCs w:val="32"/>
        </w:rPr>
      </w:pPr>
      <w:r>
        <w:rPr>
          <w:rFonts w:hint="eastAsia" w:ascii="仿宋_GB2312" w:hAnsi="FangSong" w:eastAsia="仿宋_GB2312"/>
          <w:sz w:val="32"/>
          <w:szCs w:val="32"/>
        </w:rPr>
        <w:t>其中：人员经费支出</w:t>
      </w:r>
      <w:r>
        <w:rPr>
          <w:rFonts w:hint="eastAsia" w:ascii="仿宋_GB2312" w:hAnsi="FangSong" w:eastAsia="仿宋_GB2312"/>
          <w:sz w:val="32"/>
          <w:szCs w:val="32"/>
          <w:lang w:val="en-US" w:eastAsia="zh-CN"/>
        </w:rPr>
        <w:t>1076.23</w:t>
      </w:r>
      <w:r>
        <w:rPr>
          <w:rFonts w:hint="eastAsia" w:ascii="仿宋_GB2312" w:hAnsi="FangSong" w:eastAsia="仿宋_GB2312"/>
          <w:sz w:val="32"/>
          <w:szCs w:val="32"/>
        </w:rPr>
        <w:t>万元，主要包括：基本工资、津贴补贴、奖金、伙食补助费、绩效工资、机关事业单位基本养老保险缴费、职业年金缴费、职工基本医疗保险缴费、其他社会保障缴费、住房公积金、医疗费、其他工资福利支出、离休费、退休费、生活补助、医疗费补助、助学金、奖励金、代缴社会保险费、其他对个人和家庭的补助等。</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ascii="仿宋_GB2312" w:hAnsi="FangSong" w:eastAsia="仿宋_GB2312"/>
          <w:sz w:val="32"/>
          <w:szCs w:val="32"/>
        </w:rPr>
      </w:pPr>
      <w:r>
        <w:rPr>
          <w:rFonts w:hint="eastAsia" w:ascii="仿宋_GB2312" w:hAnsi="FangSong" w:eastAsia="仿宋_GB2312"/>
          <w:sz w:val="32"/>
          <w:szCs w:val="32"/>
        </w:rPr>
        <w:t>公用经费支出</w:t>
      </w:r>
      <w:r>
        <w:rPr>
          <w:rFonts w:hint="eastAsia" w:ascii="仿宋_GB2312" w:hAnsi="FangSong" w:eastAsia="仿宋_GB2312"/>
          <w:sz w:val="32"/>
          <w:szCs w:val="32"/>
          <w:lang w:val="en-US" w:eastAsia="zh-CN"/>
        </w:rPr>
        <w:t>21.18</w:t>
      </w:r>
      <w:r>
        <w:rPr>
          <w:rFonts w:hint="eastAsia" w:ascii="仿宋_GB2312" w:hAnsi="FangSong" w:eastAsia="仿宋_GB2312"/>
          <w:sz w:val="32"/>
          <w:szCs w:val="32"/>
        </w:rPr>
        <w:t>万元，主要包括：办公费、印刷费、咨询费、手续费、水费、电费、邮电费、取暖费、差旅费、维修（护）费、租赁费、培训费、专用材料费、燃料费、劳务费、委托业务费、工会经费、办公设备购置、专用设备购置等。</w:t>
      </w:r>
    </w:p>
    <w:p>
      <w:pPr>
        <w:keepNext w:val="0"/>
        <w:keepLines w:val="0"/>
        <w:pageBreakBefore w:val="0"/>
        <w:numPr>
          <w:ilvl w:val="0"/>
          <w:numId w:val="2"/>
        </w:numPr>
        <w:kinsoku/>
        <w:wordWrap/>
        <w:overflowPunct/>
        <w:topLinePunct w:val="0"/>
        <w:autoSpaceDE/>
        <w:autoSpaceDN/>
        <w:bidi w:val="0"/>
        <w:adjustRightInd w:val="0"/>
        <w:snapToGrid w:val="0"/>
        <w:spacing w:line="580" w:lineRule="exact"/>
        <w:ind w:firstLine="643" w:firstLineChars="200"/>
        <w:contextualSpacing/>
        <w:textAlignment w:val="auto"/>
        <w:rPr>
          <w:rFonts w:hint="eastAsia" w:ascii="楷体_GB2312" w:hAnsi="KaiTi" w:eastAsia="楷体_GB2312" w:cs="SimSun"/>
          <w:b/>
          <w:bCs/>
          <w:kern w:val="0"/>
          <w:sz w:val="32"/>
          <w:szCs w:val="32"/>
        </w:rPr>
      </w:pPr>
      <w:r>
        <w:rPr>
          <w:rFonts w:hint="eastAsia" w:ascii="楷体_GB2312" w:hAnsi="KaiTi" w:eastAsia="楷体_GB2312" w:cs="SimSun"/>
          <w:b/>
          <w:bCs/>
          <w:kern w:val="0"/>
          <w:sz w:val="32"/>
          <w:szCs w:val="32"/>
        </w:rPr>
        <w:t>项目支出</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1606" w:firstLineChars="500"/>
        <w:contextualSpacing/>
        <w:textAlignment w:val="auto"/>
        <w:rPr>
          <w:rFonts w:hint="eastAsia" w:ascii="楷体_GB2312" w:hAnsi="KaiTi" w:eastAsia="楷体_GB2312" w:cs="SimSun"/>
          <w:b/>
          <w:bCs/>
          <w:kern w:val="0"/>
          <w:sz w:val="32"/>
          <w:szCs w:val="32"/>
        </w:rPr>
      </w:pPr>
      <w:r>
        <w:rPr>
          <w:rFonts w:hint="eastAsia" w:ascii="楷体_GB2312" w:hAnsi="KaiTi" w:eastAsia="楷体_GB2312" w:cs="SimSun"/>
          <w:b/>
          <w:bCs/>
          <w:kern w:val="0"/>
          <w:sz w:val="32"/>
          <w:szCs w:val="32"/>
          <w:lang w:val="en-US" w:eastAsia="zh-CN"/>
        </w:rPr>
        <w:t>无</w:t>
      </w:r>
    </w:p>
    <w:p>
      <w:pPr>
        <w:keepNext w:val="0"/>
        <w:keepLines w:val="0"/>
        <w:pageBreakBefore w:val="0"/>
        <w:numPr>
          <w:ilvl w:val="0"/>
          <w:numId w:val="2"/>
        </w:numPr>
        <w:kinsoku/>
        <w:wordWrap/>
        <w:overflowPunct/>
        <w:topLinePunct w:val="0"/>
        <w:autoSpaceDE/>
        <w:autoSpaceDN/>
        <w:bidi w:val="0"/>
        <w:adjustRightInd w:val="0"/>
        <w:snapToGrid w:val="0"/>
        <w:spacing w:line="580" w:lineRule="exact"/>
        <w:ind w:left="0" w:leftChars="0" w:firstLine="643" w:firstLineChars="200"/>
        <w:contextualSpacing/>
        <w:textAlignment w:val="auto"/>
        <w:rPr>
          <w:rFonts w:hint="eastAsia" w:ascii="楷体_GB2312" w:hAnsi="KaiTi" w:eastAsia="楷体_GB2312" w:cs="SimSun"/>
          <w:b/>
          <w:bCs/>
          <w:kern w:val="0"/>
          <w:sz w:val="32"/>
          <w:szCs w:val="32"/>
        </w:rPr>
      </w:pPr>
      <w:r>
        <w:rPr>
          <w:rFonts w:hint="eastAsia" w:ascii="楷体_GB2312" w:hAnsi="KaiTi" w:eastAsia="楷体_GB2312" w:cs="SimSun"/>
          <w:b/>
          <w:bCs/>
          <w:kern w:val="0"/>
          <w:sz w:val="32"/>
          <w:szCs w:val="32"/>
        </w:rPr>
        <w:t>支出功能分类说明</w:t>
      </w:r>
    </w:p>
    <w:p>
      <w:pPr>
        <w:keepNext w:val="0"/>
        <w:keepLines w:val="0"/>
        <w:pageBreakBefore w:val="0"/>
        <w:widowControl/>
        <w:kinsoku/>
        <w:wordWrap/>
        <w:overflowPunct/>
        <w:topLinePunct w:val="0"/>
        <w:autoSpaceDE/>
        <w:autoSpaceDN/>
        <w:bidi w:val="0"/>
        <w:spacing w:line="580" w:lineRule="exact"/>
        <w:ind w:firstLine="640" w:firstLineChars="200"/>
        <w:contextualSpacing/>
        <w:jc w:val="left"/>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.一般公共服务支出（类） 群众团体事务（款）</w:t>
      </w:r>
      <w:r>
        <w:rPr>
          <w:rFonts w:hint="eastAsia" w:ascii="仿宋_GB2312" w:eastAsia="仿宋_GB2312"/>
          <w:color w:val="000000"/>
          <w:sz w:val="32"/>
          <w:szCs w:val="32"/>
          <w:lang w:eastAsia="zh-CN"/>
        </w:rPr>
        <w:t>2024</w:t>
      </w:r>
      <w:r>
        <w:rPr>
          <w:rFonts w:hint="eastAsia" w:ascii="仿宋_GB2312" w:eastAsia="仿宋_GB2312"/>
          <w:color w:val="000000"/>
          <w:sz w:val="32"/>
          <w:szCs w:val="32"/>
        </w:rPr>
        <w:t>年预算支出</w:t>
      </w:r>
      <w:r>
        <w:rPr>
          <w:rFonts w:hint="eastAsia" w:ascii="仿宋_GB2312" w:eastAsia="仿宋_GB2312"/>
          <w:color w:val="000000"/>
          <w:sz w:val="32"/>
          <w:szCs w:val="32"/>
          <w:lang w:val="en-US" w:eastAsia="zh-CN"/>
        </w:rPr>
        <w:t>13.42万</w:t>
      </w:r>
      <w:r>
        <w:rPr>
          <w:rFonts w:hint="eastAsia" w:ascii="仿宋_GB2312" w:eastAsia="仿宋_GB2312"/>
          <w:color w:val="000000"/>
          <w:sz w:val="32"/>
          <w:szCs w:val="32"/>
        </w:rPr>
        <w:t>元，比上年预算数增加%。其中：工会事务（项）</w:t>
      </w:r>
      <w:r>
        <w:rPr>
          <w:rFonts w:hint="eastAsia" w:ascii="仿宋_GB2312" w:eastAsia="仿宋_GB2312"/>
          <w:color w:val="000000"/>
          <w:sz w:val="32"/>
          <w:szCs w:val="32"/>
          <w:lang w:eastAsia="zh-CN"/>
        </w:rPr>
        <w:t>2024</w:t>
      </w:r>
      <w:r>
        <w:rPr>
          <w:rFonts w:hint="eastAsia" w:ascii="仿宋_GB2312" w:eastAsia="仿宋_GB2312"/>
          <w:color w:val="000000"/>
          <w:sz w:val="32"/>
          <w:szCs w:val="32"/>
        </w:rPr>
        <w:t>年预算支出</w:t>
      </w:r>
      <w:r>
        <w:rPr>
          <w:rFonts w:hint="eastAsia" w:ascii="仿宋_GB2312" w:eastAsia="仿宋_GB2312"/>
          <w:color w:val="000000"/>
          <w:sz w:val="32"/>
          <w:szCs w:val="32"/>
          <w:lang w:val="en-US" w:eastAsia="zh-CN"/>
        </w:rPr>
        <w:t>13.42万</w:t>
      </w:r>
      <w:r>
        <w:rPr>
          <w:rFonts w:hint="eastAsia" w:ascii="仿宋_GB2312" w:eastAsia="仿宋_GB2312"/>
          <w:color w:val="000000"/>
          <w:sz w:val="32"/>
          <w:szCs w:val="32"/>
        </w:rPr>
        <w:t>元，比上年预算数增加</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增加的原因是</w:t>
      </w:r>
      <w:r>
        <w:rPr>
          <w:rFonts w:hint="eastAsia" w:ascii="仿宋_GB2312" w:hAnsi="FangSong" w:eastAsia="仿宋_GB2312"/>
          <w:sz w:val="32"/>
          <w:szCs w:val="32"/>
          <w:lang w:val="en-US" w:eastAsia="zh-CN"/>
        </w:rPr>
        <w:t>教师数量增加同时教师待遇提高所致。</w:t>
      </w:r>
    </w:p>
    <w:p>
      <w:pPr>
        <w:keepNext w:val="0"/>
        <w:keepLines w:val="0"/>
        <w:pageBreakBefore w:val="0"/>
        <w:widowControl/>
        <w:kinsoku/>
        <w:wordWrap/>
        <w:overflowPunct/>
        <w:topLinePunct w:val="0"/>
        <w:autoSpaceDE/>
        <w:autoSpaceDN/>
        <w:bidi w:val="0"/>
        <w:spacing w:line="580" w:lineRule="exact"/>
        <w:ind w:firstLine="640" w:firstLineChars="200"/>
        <w:contextualSpacing/>
        <w:jc w:val="left"/>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社会保障和就业支出（类）行政事业单位养老支出（款）</w:t>
      </w:r>
      <w:r>
        <w:rPr>
          <w:rFonts w:hint="eastAsia" w:ascii="仿宋_GB2312" w:eastAsia="仿宋_GB2312"/>
          <w:color w:val="000000"/>
          <w:sz w:val="32"/>
          <w:szCs w:val="32"/>
          <w:lang w:eastAsia="zh-CN"/>
        </w:rPr>
        <w:t>2024</w:t>
      </w:r>
      <w:r>
        <w:rPr>
          <w:rFonts w:hint="eastAsia" w:ascii="仿宋_GB2312" w:eastAsia="仿宋_GB2312"/>
          <w:color w:val="000000"/>
          <w:sz w:val="32"/>
          <w:szCs w:val="32"/>
        </w:rPr>
        <w:t>年预算支出</w:t>
      </w:r>
      <w:r>
        <w:rPr>
          <w:rFonts w:hint="eastAsia" w:ascii="仿宋_GB2312" w:eastAsia="仿宋_GB2312"/>
          <w:color w:val="000000"/>
          <w:sz w:val="32"/>
          <w:szCs w:val="32"/>
          <w:lang w:val="en-US" w:eastAsia="zh-CN"/>
        </w:rPr>
        <w:t>109.51</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元，变化情况：其中：机关事业单位基本养老保险缴费支出（项）</w:t>
      </w:r>
      <w:r>
        <w:rPr>
          <w:rFonts w:hint="eastAsia" w:ascii="仿宋_GB2312" w:eastAsia="仿宋_GB2312"/>
          <w:color w:val="000000"/>
          <w:sz w:val="32"/>
          <w:szCs w:val="32"/>
          <w:lang w:eastAsia="zh-CN"/>
        </w:rPr>
        <w:t>2024</w:t>
      </w:r>
      <w:r>
        <w:rPr>
          <w:rFonts w:hint="eastAsia" w:ascii="仿宋_GB2312" w:eastAsia="仿宋_GB2312"/>
          <w:color w:val="000000"/>
          <w:sz w:val="32"/>
          <w:szCs w:val="32"/>
        </w:rPr>
        <w:t>年预算支出</w:t>
      </w:r>
      <w:r>
        <w:rPr>
          <w:rFonts w:hint="eastAsia" w:ascii="仿宋_GB2312" w:eastAsia="仿宋_GB2312"/>
          <w:color w:val="000000"/>
          <w:sz w:val="32"/>
          <w:szCs w:val="32"/>
          <w:lang w:val="en-US" w:eastAsia="zh-CN"/>
        </w:rPr>
        <w:t>109.51</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元，比上年预算数增加</w:t>
      </w:r>
      <w:r>
        <w:rPr>
          <w:rFonts w:hint="eastAsia" w:ascii="仿宋_GB2312" w:eastAsia="仿宋_GB2312"/>
          <w:color w:val="000000"/>
          <w:sz w:val="32"/>
          <w:szCs w:val="32"/>
          <w:lang w:val="en-US" w:eastAsia="zh-CN"/>
        </w:rPr>
        <w:t>31</w:t>
      </w:r>
      <w:r>
        <w:rPr>
          <w:rFonts w:hint="eastAsia" w:ascii="仿宋_GB2312" w:eastAsia="仿宋_GB2312"/>
          <w:color w:val="000000"/>
          <w:sz w:val="32"/>
          <w:szCs w:val="32"/>
        </w:rPr>
        <w:t>%；财政对其他社会保险基金的补助（款）</w:t>
      </w:r>
      <w:r>
        <w:rPr>
          <w:rFonts w:hint="eastAsia" w:ascii="仿宋_GB2312" w:eastAsia="仿宋_GB2312"/>
          <w:color w:val="000000"/>
          <w:sz w:val="32"/>
          <w:szCs w:val="32"/>
          <w:lang w:eastAsia="zh-CN"/>
        </w:rPr>
        <w:t>2024</w:t>
      </w:r>
      <w:r>
        <w:rPr>
          <w:rFonts w:hint="eastAsia" w:ascii="仿宋_GB2312" w:eastAsia="仿宋_GB2312"/>
          <w:color w:val="000000"/>
          <w:sz w:val="32"/>
          <w:szCs w:val="32"/>
        </w:rPr>
        <w:t>年预算支出</w:t>
      </w:r>
      <w:r>
        <w:rPr>
          <w:rFonts w:hint="eastAsia" w:ascii="仿宋_GB2312" w:eastAsia="仿宋_GB2312"/>
          <w:color w:val="000000"/>
          <w:sz w:val="32"/>
          <w:szCs w:val="32"/>
          <w:lang w:val="en-US" w:eastAsia="zh-CN"/>
        </w:rPr>
        <w:t>1.37万</w:t>
      </w:r>
      <w:r>
        <w:rPr>
          <w:rFonts w:hint="eastAsia" w:ascii="仿宋_GB2312" w:eastAsia="仿宋_GB2312"/>
          <w:color w:val="000000"/>
          <w:sz w:val="32"/>
          <w:szCs w:val="32"/>
        </w:rPr>
        <w:t>元，比上年预算数增加</w:t>
      </w:r>
      <w:r>
        <w:rPr>
          <w:rFonts w:hint="eastAsia" w:ascii="仿宋_GB2312" w:eastAsia="仿宋_GB2312"/>
          <w:color w:val="000000"/>
          <w:sz w:val="32"/>
          <w:szCs w:val="32"/>
          <w:lang w:val="en-US" w:eastAsia="zh-CN"/>
        </w:rPr>
        <w:t>31</w:t>
      </w:r>
      <w:r>
        <w:rPr>
          <w:rFonts w:hint="eastAsia" w:ascii="仿宋_GB2312" w:eastAsia="仿宋_GB2312"/>
          <w:color w:val="000000"/>
          <w:sz w:val="32"/>
          <w:szCs w:val="32"/>
        </w:rPr>
        <w:t>%；财政对工伤保险基金的补助（项）</w:t>
      </w:r>
      <w:r>
        <w:rPr>
          <w:rFonts w:hint="eastAsia" w:ascii="仿宋_GB2312" w:eastAsia="仿宋_GB2312"/>
          <w:color w:val="000000"/>
          <w:sz w:val="32"/>
          <w:szCs w:val="32"/>
          <w:lang w:eastAsia="zh-CN"/>
        </w:rPr>
        <w:t>2024</w:t>
      </w:r>
      <w:r>
        <w:rPr>
          <w:rFonts w:hint="eastAsia" w:ascii="仿宋_GB2312" w:eastAsia="仿宋_GB2312"/>
          <w:color w:val="000000"/>
          <w:sz w:val="32"/>
          <w:szCs w:val="32"/>
        </w:rPr>
        <w:t>年预算支出</w:t>
      </w:r>
      <w:r>
        <w:rPr>
          <w:rFonts w:hint="eastAsia" w:ascii="仿宋_GB2312" w:eastAsia="仿宋_GB2312"/>
          <w:color w:val="000000"/>
          <w:sz w:val="32"/>
          <w:szCs w:val="32"/>
          <w:lang w:val="en-US" w:eastAsia="zh-CN"/>
        </w:rPr>
        <w:t>1.37</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元，比上年预算数增加</w:t>
      </w:r>
      <w:r>
        <w:rPr>
          <w:rFonts w:hint="eastAsia" w:ascii="仿宋_GB2312" w:eastAsia="仿宋_GB2312"/>
          <w:color w:val="000000"/>
          <w:sz w:val="32"/>
          <w:szCs w:val="32"/>
          <w:lang w:val="en-US" w:eastAsia="zh-CN"/>
        </w:rPr>
        <w:t>31</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增加的原因是</w:t>
      </w:r>
      <w:r>
        <w:rPr>
          <w:rFonts w:hint="eastAsia" w:ascii="仿宋_GB2312" w:hAnsi="FangSong" w:eastAsia="仿宋_GB2312"/>
          <w:sz w:val="32"/>
          <w:szCs w:val="32"/>
          <w:lang w:val="en-US" w:eastAsia="zh-CN"/>
        </w:rPr>
        <w:t>教师数量增加同时教师待遇提高所致。</w:t>
      </w:r>
    </w:p>
    <w:p>
      <w:pPr>
        <w:keepNext w:val="0"/>
        <w:keepLines w:val="0"/>
        <w:pageBreakBefore w:val="0"/>
        <w:widowControl/>
        <w:kinsoku/>
        <w:wordWrap/>
        <w:overflowPunct/>
        <w:topLinePunct w:val="0"/>
        <w:autoSpaceDE/>
        <w:autoSpaceDN/>
        <w:bidi w:val="0"/>
        <w:spacing w:line="580" w:lineRule="exact"/>
        <w:ind w:firstLine="640" w:firstLineChars="200"/>
        <w:contextualSpacing/>
        <w:jc w:val="left"/>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卫生健康支出（类） 财政对基本医疗保险基金的补助（款）</w:t>
      </w:r>
      <w:r>
        <w:rPr>
          <w:rFonts w:hint="eastAsia" w:ascii="仿宋_GB2312" w:eastAsia="仿宋_GB2312"/>
          <w:color w:val="000000"/>
          <w:sz w:val="32"/>
          <w:szCs w:val="32"/>
          <w:lang w:eastAsia="zh-CN"/>
        </w:rPr>
        <w:t>2024</w:t>
      </w:r>
      <w:r>
        <w:rPr>
          <w:rFonts w:hint="eastAsia" w:ascii="仿宋_GB2312" w:eastAsia="仿宋_GB2312"/>
          <w:color w:val="000000"/>
          <w:sz w:val="32"/>
          <w:szCs w:val="32"/>
        </w:rPr>
        <w:t>年预算支出</w:t>
      </w:r>
      <w:r>
        <w:rPr>
          <w:rFonts w:hint="eastAsia" w:ascii="仿宋_GB2312" w:eastAsia="仿宋_GB2312"/>
          <w:color w:val="000000"/>
          <w:sz w:val="32"/>
          <w:szCs w:val="32"/>
          <w:lang w:val="en-US" w:eastAsia="zh-CN"/>
        </w:rPr>
        <w:t>58.96</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元，比上年预算数增加</w:t>
      </w:r>
      <w:r>
        <w:rPr>
          <w:rFonts w:hint="eastAsia" w:ascii="仿宋_GB2312" w:eastAsia="仿宋_GB2312"/>
          <w:color w:val="000000"/>
          <w:sz w:val="32"/>
          <w:szCs w:val="32"/>
          <w:lang w:val="en-US" w:eastAsia="zh-CN"/>
        </w:rPr>
        <w:t>70</w:t>
      </w:r>
      <w:r>
        <w:rPr>
          <w:rFonts w:hint="eastAsia" w:ascii="仿宋_GB2312" w:eastAsia="仿宋_GB2312"/>
          <w:color w:val="000000"/>
          <w:sz w:val="32"/>
          <w:szCs w:val="32"/>
        </w:rPr>
        <w:t>%。其中：财政对职工基本医疗保险基金的补助（项）</w:t>
      </w:r>
      <w:r>
        <w:rPr>
          <w:rFonts w:hint="eastAsia" w:ascii="仿宋_GB2312" w:eastAsia="仿宋_GB2312"/>
          <w:color w:val="000000"/>
          <w:sz w:val="32"/>
          <w:szCs w:val="32"/>
          <w:lang w:val="en-US" w:eastAsia="zh-CN"/>
        </w:rPr>
        <w:t>58.96</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元，比上年预算数增加</w:t>
      </w:r>
      <w:r>
        <w:rPr>
          <w:rFonts w:hint="eastAsia" w:ascii="仿宋_GB2312" w:eastAsia="仿宋_GB2312"/>
          <w:color w:val="000000"/>
          <w:sz w:val="32"/>
          <w:szCs w:val="32"/>
          <w:lang w:val="en-US" w:eastAsia="zh-CN"/>
        </w:rPr>
        <w:t>70</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增加的原因是</w:t>
      </w:r>
      <w:r>
        <w:rPr>
          <w:rFonts w:hint="eastAsia" w:ascii="仿宋_GB2312" w:hAnsi="FangSong" w:eastAsia="仿宋_GB2312"/>
          <w:sz w:val="32"/>
          <w:szCs w:val="32"/>
          <w:lang w:val="en-US" w:eastAsia="zh-CN"/>
        </w:rPr>
        <w:t>教师数量增加同时教师待遇提高所致。</w:t>
      </w:r>
    </w:p>
    <w:p>
      <w:pPr>
        <w:keepNext w:val="0"/>
        <w:keepLines w:val="0"/>
        <w:pageBreakBefore w:val="0"/>
        <w:widowControl/>
        <w:kinsoku/>
        <w:wordWrap/>
        <w:overflowPunct/>
        <w:topLinePunct w:val="0"/>
        <w:autoSpaceDE/>
        <w:autoSpaceDN/>
        <w:bidi w:val="0"/>
        <w:spacing w:line="580" w:lineRule="exact"/>
        <w:ind w:firstLine="640" w:firstLineChars="200"/>
        <w:contextualSpacing/>
        <w:jc w:val="left"/>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住房保障支出（类）住房改革支出（款）</w:t>
      </w:r>
      <w:r>
        <w:rPr>
          <w:rFonts w:hint="eastAsia" w:ascii="仿宋_GB2312" w:eastAsia="仿宋_GB2312"/>
          <w:color w:val="000000"/>
          <w:sz w:val="32"/>
          <w:szCs w:val="32"/>
          <w:lang w:eastAsia="zh-CN"/>
        </w:rPr>
        <w:t>2024</w:t>
      </w:r>
      <w:r>
        <w:rPr>
          <w:rFonts w:hint="eastAsia" w:ascii="仿宋_GB2312" w:eastAsia="仿宋_GB2312"/>
          <w:color w:val="000000"/>
          <w:sz w:val="32"/>
          <w:szCs w:val="32"/>
        </w:rPr>
        <w:t>年预算支出</w:t>
      </w:r>
      <w:r>
        <w:rPr>
          <w:rFonts w:hint="eastAsia" w:ascii="仿宋_GB2312" w:eastAsia="仿宋_GB2312"/>
          <w:color w:val="000000"/>
          <w:sz w:val="32"/>
          <w:szCs w:val="32"/>
          <w:lang w:val="en-US" w:eastAsia="zh-CN"/>
        </w:rPr>
        <w:t>82.14</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元，比上年预算数增加</w:t>
      </w:r>
      <w:r>
        <w:rPr>
          <w:rFonts w:hint="eastAsia" w:ascii="仿宋_GB2312" w:eastAsia="仿宋_GB2312"/>
          <w:color w:val="000000"/>
          <w:sz w:val="32"/>
          <w:szCs w:val="32"/>
          <w:lang w:val="en-US" w:eastAsia="zh-CN"/>
        </w:rPr>
        <w:t>31</w:t>
      </w:r>
      <w:r>
        <w:rPr>
          <w:rFonts w:hint="eastAsia" w:ascii="仿宋_GB2312" w:eastAsia="仿宋_GB2312"/>
          <w:color w:val="000000"/>
          <w:sz w:val="32"/>
          <w:szCs w:val="32"/>
        </w:rPr>
        <w:t>%。其中：住房公积金（项）</w:t>
      </w:r>
      <w:r>
        <w:rPr>
          <w:rFonts w:hint="eastAsia" w:ascii="仿宋_GB2312" w:eastAsia="仿宋_GB2312"/>
          <w:color w:val="000000"/>
          <w:sz w:val="32"/>
          <w:szCs w:val="32"/>
          <w:lang w:eastAsia="zh-CN"/>
        </w:rPr>
        <w:t>2024</w:t>
      </w:r>
      <w:r>
        <w:rPr>
          <w:rFonts w:hint="eastAsia" w:ascii="仿宋_GB2312" w:eastAsia="仿宋_GB2312"/>
          <w:color w:val="000000"/>
          <w:sz w:val="32"/>
          <w:szCs w:val="32"/>
        </w:rPr>
        <w:t>年预算支出</w:t>
      </w:r>
      <w:r>
        <w:rPr>
          <w:rFonts w:hint="eastAsia" w:ascii="仿宋_GB2312" w:eastAsia="仿宋_GB2312"/>
          <w:color w:val="000000"/>
          <w:sz w:val="32"/>
          <w:szCs w:val="32"/>
          <w:lang w:val="en-US" w:eastAsia="zh-CN"/>
        </w:rPr>
        <w:t>82.14</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元，比上年预算数增加</w:t>
      </w:r>
      <w:r>
        <w:rPr>
          <w:rFonts w:hint="eastAsia" w:ascii="仿宋_GB2312" w:eastAsia="仿宋_GB2312"/>
          <w:color w:val="000000"/>
          <w:sz w:val="32"/>
          <w:szCs w:val="32"/>
          <w:lang w:val="en-US" w:eastAsia="zh-CN"/>
        </w:rPr>
        <w:t>31</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增加的原因是</w:t>
      </w:r>
      <w:r>
        <w:rPr>
          <w:rFonts w:hint="eastAsia" w:ascii="仿宋_GB2312" w:hAnsi="FangSong" w:eastAsia="仿宋_GB2312"/>
          <w:sz w:val="32"/>
          <w:szCs w:val="32"/>
          <w:lang w:val="en-US" w:eastAsia="zh-CN"/>
        </w:rPr>
        <w:t>教师数量增加同时教师待遇提高所致。</w:t>
      </w:r>
    </w:p>
    <w:p>
      <w:pPr>
        <w:keepNext w:val="0"/>
        <w:keepLines w:val="0"/>
        <w:pageBreakBefore w:val="0"/>
        <w:widowControl/>
        <w:kinsoku/>
        <w:wordWrap/>
        <w:overflowPunct/>
        <w:topLinePunct w:val="0"/>
        <w:autoSpaceDE/>
        <w:autoSpaceDN/>
        <w:bidi w:val="0"/>
        <w:spacing w:line="580" w:lineRule="exact"/>
        <w:ind w:firstLine="640" w:firstLineChars="200"/>
        <w:contextualSpacing/>
        <w:jc w:val="left"/>
        <w:textAlignment w:val="auto"/>
        <w:rPr>
          <w:rFonts w:hint="eastAsia" w:ascii="楷体_GB2312" w:hAnsi="KaiTi" w:eastAsia="楷体_GB2312" w:cs="SimSun"/>
          <w:b/>
          <w:bCs/>
          <w:kern w:val="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教育支出（类）普通教育（款）</w:t>
      </w:r>
      <w:r>
        <w:rPr>
          <w:rFonts w:hint="eastAsia" w:ascii="仿宋_GB2312" w:eastAsia="仿宋_GB2312"/>
          <w:color w:val="000000"/>
          <w:sz w:val="32"/>
          <w:szCs w:val="32"/>
          <w:lang w:eastAsia="zh-CN"/>
        </w:rPr>
        <w:t>2024</w:t>
      </w:r>
      <w:r>
        <w:rPr>
          <w:rFonts w:hint="eastAsia" w:ascii="仿宋_GB2312" w:eastAsia="仿宋_GB2312"/>
          <w:color w:val="000000"/>
          <w:sz w:val="32"/>
          <w:szCs w:val="32"/>
        </w:rPr>
        <w:t>年预算支出</w:t>
      </w:r>
      <w:r>
        <w:rPr>
          <w:rFonts w:hint="eastAsia" w:ascii="仿宋_GB2312" w:eastAsia="仿宋_GB2312"/>
          <w:color w:val="000000"/>
          <w:sz w:val="32"/>
          <w:szCs w:val="32"/>
          <w:lang w:val="en-US" w:eastAsia="zh-CN"/>
        </w:rPr>
        <w:t>832.01</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元，比上年预算数</w:t>
      </w:r>
      <w:r>
        <w:rPr>
          <w:rFonts w:hint="eastAsia" w:ascii="仿宋_GB2312" w:eastAsia="仿宋_GB2312"/>
          <w:color w:val="000000"/>
          <w:sz w:val="32"/>
          <w:szCs w:val="32"/>
          <w:lang w:val="en-US" w:eastAsia="zh-CN"/>
        </w:rPr>
        <w:t>增加28</w:t>
      </w:r>
      <w:r>
        <w:rPr>
          <w:rFonts w:hint="eastAsia" w:ascii="仿宋_GB2312" w:eastAsia="仿宋_GB2312"/>
          <w:color w:val="000000"/>
          <w:sz w:val="32"/>
          <w:szCs w:val="32"/>
        </w:rPr>
        <w:t>%。其中：</w:t>
      </w:r>
      <w:r>
        <w:rPr>
          <w:rFonts w:hint="eastAsia" w:ascii="仿宋_GB2312" w:eastAsia="仿宋_GB2312"/>
          <w:color w:val="000000"/>
          <w:sz w:val="32"/>
          <w:szCs w:val="32"/>
          <w:lang w:val="en-US" w:eastAsia="zh-CN"/>
        </w:rPr>
        <w:t>初中</w:t>
      </w:r>
      <w:r>
        <w:rPr>
          <w:rFonts w:hint="eastAsia" w:ascii="仿宋_GB2312" w:eastAsia="仿宋_GB2312"/>
          <w:color w:val="000000"/>
          <w:sz w:val="32"/>
          <w:szCs w:val="32"/>
        </w:rPr>
        <w:t>教育（项）</w:t>
      </w:r>
      <w:r>
        <w:rPr>
          <w:rFonts w:hint="eastAsia" w:ascii="仿宋_GB2312" w:eastAsia="仿宋_GB2312"/>
          <w:color w:val="000000"/>
          <w:sz w:val="32"/>
          <w:szCs w:val="32"/>
          <w:lang w:eastAsia="zh-CN"/>
        </w:rPr>
        <w:t>2024</w:t>
      </w:r>
      <w:r>
        <w:rPr>
          <w:rFonts w:hint="eastAsia" w:ascii="仿宋_GB2312" w:eastAsia="仿宋_GB2312"/>
          <w:color w:val="000000"/>
          <w:sz w:val="32"/>
          <w:szCs w:val="32"/>
        </w:rPr>
        <w:t>年预算支出</w:t>
      </w:r>
      <w:r>
        <w:rPr>
          <w:rFonts w:hint="eastAsia" w:ascii="仿宋_GB2312" w:eastAsia="仿宋_GB2312"/>
          <w:color w:val="000000"/>
          <w:sz w:val="32"/>
          <w:szCs w:val="32"/>
          <w:lang w:val="en-US" w:eastAsia="zh-CN"/>
        </w:rPr>
        <w:t>832.01</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元，比上年预算数</w:t>
      </w:r>
      <w:r>
        <w:rPr>
          <w:rFonts w:hint="eastAsia" w:ascii="仿宋_GB2312" w:eastAsia="仿宋_GB2312"/>
          <w:color w:val="000000"/>
          <w:sz w:val="32"/>
          <w:szCs w:val="32"/>
          <w:lang w:val="en-US" w:eastAsia="zh-CN"/>
        </w:rPr>
        <w:t>增加28</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增加的原因是</w:t>
      </w:r>
      <w:r>
        <w:rPr>
          <w:rFonts w:hint="eastAsia" w:ascii="仿宋_GB2312" w:hAnsi="FangSong" w:eastAsia="仿宋_GB2312"/>
          <w:sz w:val="32"/>
          <w:szCs w:val="32"/>
          <w:lang w:val="en-US" w:eastAsia="zh-CN"/>
        </w:rPr>
        <w:t>教师数量增加同时教师待遇提高所致。</w:t>
      </w:r>
    </w:p>
    <w:p>
      <w:pPr>
        <w:keepNext w:val="0"/>
        <w:keepLines w:val="0"/>
        <w:pageBreakBefore w:val="0"/>
        <w:kinsoku/>
        <w:wordWrap/>
        <w:overflowPunct/>
        <w:topLinePunct w:val="0"/>
        <w:autoSpaceDE/>
        <w:autoSpaceDN/>
        <w:bidi w:val="0"/>
        <w:adjustRightInd w:val="0"/>
        <w:snapToGrid w:val="0"/>
        <w:spacing w:line="580" w:lineRule="exact"/>
        <w:ind w:firstLine="640" w:firstLineChars="200"/>
        <w:contextualSpacing/>
        <w:textAlignment w:val="auto"/>
        <w:rPr>
          <w:rFonts w:ascii="SimHei" w:hAnsi="SimHei" w:eastAsia="SimHei" w:cs="SimSun"/>
          <w:kern w:val="0"/>
          <w:sz w:val="32"/>
          <w:szCs w:val="32"/>
        </w:rPr>
      </w:pPr>
      <w:r>
        <w:rPr>
          <w:rFonts w:hint="eastAsia" w:ascii="SimHei" w:hAnsi="SimHei" w:eastAsia="SimHei" w:cs="SimSun"/>
          <w:kern w:val="0"/>
          <w:sz w:val="32"/>
          <w:szCs w:val="32"/>
        </w:rPr>
        <w:t>五、部门（单位）一般公共预算财政拨款“三公”经费、培训费、会议费等情况</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textAlignment w:val="auto"/>
        <w:rPr>
          <w:rFonts w:ascii="楷体_GB2312" w:hAnsi="KaiTi" w:eastAsia="楷体_GB2312" w:cs="SimSun"/>
          <w:b/>
          <w:bCs/>
          <w:kern w:val="0"/>
          <w:sz w:val="32"/>
          <w:szCs w:val="32"/>
        </w:rPr>
      </w:pPr>
      <w:r>
        <w:rPr>
          <w:rFonts w:hint="eastAsia" w:ascii="楷体_GB2312" w:hAnsi="KaiTi" w:eastAsia="楷体_GB2312" w:cs="SimSun"/>
          <w:b/>
          <w:bCs/>
          <w:kern w:val="0"/>
          <w:sz w:val="32"/>
          <w:szCs w:val="32"/>
        </w:rPr>
        <w:t>（一）“三公”经费情况说明</w:t>
      </w:r>
    </w:p>
    <w:p>
      <w:pPr>
        <w:keepNext w:val="0"/>
        <w:keepLines w:val="0"/>
        <w:pageBreakBefore w:val="0"/>
        <w:kinsoku/>
        <w:wordWrap/>
        <w:overflowPunct/>
        <w:topLinePunct w:val="0"/>
        <w:autoSpaceDE/>
        <w:autoSpaceDN/>
        <w:bidi w:val="0"/>
        <w:adjustRightInd w:val="0"/>
        <w:snapToGrid w:val="0"/>
        <w:spacing w:line="580" w:lineRule="exact"/>
        <w:ind w:firstLine="640" w:firstLineChars="200"/>
        <w:contextualSpacing/>
        <w:textAlignment w:val="auto"/>
        <w:rPr>
          <w:rFonts w:hint="eastAsia" w:ascii="仿宋_GB2312" w:hAnsi="FangSong" w:eastAsia="仿宋_GB2312" w:cs="SimSun"/>
          <w:b/>
          <w:kern w:val="0"/>
          <w:sz w:val="32"/>
          <w:szCs w:val="32"/>
          <w:lang w:eastAsia="zh-CN"/>
        </w:rPr>
      </w:pPr>
      <w:r>
        <w:rPr>
          <w:rFonts w:hint="eastAsia" w:ascii="仿宋_GB2312" w:hAnsi="FangSong" w:eastAsia="仿宋_GB2312"/>
          <w:sz w:val="32"/>
          <w:szCs w:val="32"/>
        </w:rPr>
        <w:t>“三公”经费预算</w:t>
      </w:r>
      <w:r>
        <w:rPr>
          <w:rFonts w:hint="eastAsia" w:ascii="仿宋_GB2312" w:hAnsi="FangSong" w:eastAsia="仿宋_GB2312"/>
          <w:sz w:val="32"/>
          <w:szCs w:val="32"/>
          <w:lang w:val="en-US" w:eastAsia="zh-CN"/>
        </w:rPr>
        <w:t>0</w:t>
      </w:r>
      <w:r>
        <w:rPr>
          <w:rFonts w:hint="eastAsia" w:ascii="仿宋_GB2312" w:hAnsi="FangSong" w:eastAsia="仿宋_GB2312"/>
          <w:sz w:val="32"/>
          <w:szCs w:val="32"/>
        </w:rPr>
        <w:t>万元</w:t>
      </w:r>
      <w:r>
        <w:rPr>
          <w:rFonts w:hint="eastAsia" w:ascii="仿宋_GB2312" w:hAnsi="FangSong" w:eastAsia="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textAlignment w:val="auto"/>
        <w:rPr>
          <w:rFonts w:ascii="楷体_GB2312" w:hAnsi="KaiTi" w:eastAsia="楷体_GB2312" w:cs="SimSun"/>
          <w:b/>
          <w:bCs/>
          <w:kern w:val="0"/>
          <w:sz w:val="32"/>
          <w:szCs w:val="32"/>
        </w:rPr>
      </w:pPr>
      <w:r>
        <w:rPr>
          <w:rFonts w:hint="eastAsia" w:ascii="楷体_GB2312" w:hAnsi="KaiTi" w:eastAsia="楷体_GB2312" w:cs="SimSun"/>
          <w:b/>
          <w:bCs/>
          <w:kern w:val="0"/>
          <w:sz w:val="32"/>
          <w:szCs w:val="32"/>
        </w:rPr>
        <w:t>（二）培训费预算情况说明</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仿宋_GB2312" w:hAnsi="FangSong" w:eastAsia="仿宋_GB2312"/>
          <w:sz w:val="32"/>
          <w:szCs w:val="32"/>
          <w:lang w:eastAsia="zh-CN"/>
        </w:rPr>
      </w:pPr>
      <w:r>
        <w:rPr>
          <w:rFonts w:hint="eastAsia" w:ascii="仿宋_GB2312" w:hAnsi="FangSong" w:eastAsia="仿宋_GB2312"/>
          <w:sz w:val="32"/>
          <w:szCs w:val="32"/>
        </w:rPr>
        <w:t>培训费</w:t>
      </w:r>
      <w:r>
        <w:rPr>
          <w:rFonts w:hint="eastAsia" w:ascii="仿宋_GB2312" w:hAnsi="FangSong" w:eastAsia="仿宋_GB2312"/>
          <w:sz w:val="32"/>
          <w:szCs w:val="32"/>
          <w:lang w:val="en-US" w:eastAsia="zh-CN"/>
        </w:rPr>
        <w:t>0</w:t>
      </w:r>
      <w:r>
        <w:rPr>
          <w:rFonts w:hint="eastAsia" w:ascii="仿宋_GB2312" w:hAnsi="FangSong" w:eastAsia="仿宋_GB2312"/>
          <w:sz w:val="32"/>
          <w:szCs w:val="32"/>
        </w:rPr>
        <w:t>万元</w:t>
      </w:r>
      <w:r>
        <w:rPr>
          <w:rFonts w:hint="eastAsia" w:ascii="仿宋_GB2312" w:hAnsi="FangSong" w:eastAsia="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textAlignment w:val="auto"/>
        <w:rPr>
          <w:rFonts w:ascii="楷体_GB2312" w:hAnsi="KaiTi" w:eastAsia="楷体_GB2312" w:cs="SimSun"/>
          <w:b/>
          <w:bCs/>
          <w:kern w:val="0"/>
          <w:sz w:val="32"/>
          <w:szCs w:val="32"/>
        </w:rPr>
      </w:pPr>
      <w:r>
        <w:rPr>
          <w:rFonts w:hint="eastAsia" w:ascii="楷体_GB2312" w:hAnsi="KaiTi" w:eastAsia="楷体_GB2312" w:cs="SimSun"/>
          <w:b/>
          <w:bCs/>
          <w:kern w:val="0"/>
          <w:sz w:val="32"/>
          <w:szCs w:val="32"/>
        </w:rPr>
        <w:t>（三）会议费预算情况说明</w:t>
      </w:r>
    </w:p>
    <w:p>
      <w:pPr>
        <w:keepNext w:val="0"/>
        <w:keepLines w:val="0"/>
        <w:pageBreakBefore w:val="0"/>
        <w:kinsoku/>
        <w:wordWrap/>
        <w:overflowPunct/>
        <w:topLinePunct w:val="0"/>
        <w:autoSpaceDE/>
        <w:autoSpaceDN/>
        <w:bidi w:val="0"/>
        <w:adjustRightInd w:val="0"/>
        <w:snapToGrid w:val="0"/>
        <w:spacing w:line="580" w:lineRule="exact"/>
        <w:ind w:firstLine="640" w:firstLineChars="200"/>
        <w:contextualSpacing/>
        <w:textAlignment w:val="auto"/>
        <w:rPr>
          <w:rFonts w:hint="eastAsia" w:ascii="仿宋_GB2312" w:hAnsi="FangSong" w:eastAsia="仿宋_GB2312"/>
          <w:sz w:val="32"/>
          <w:szCs w:val="32"/>
          <w:lang w:eastAsia="zh-CN"/>
        </w:rPr>
      </w:pPr>
      <w:r>
        <w:rPr>
          <w:rFonts w:hint="eastAsia" w:ascii="仿宋_GB2312" w:hAnsi="FangSong" w:eastAsia="仿宋_GB2312"/>
          <w:sz w:val="32"/>
          <w:szCs w:val="32"/>
        </w:rPr>
        <w:t>会议费</w:t>
      </w:r>
      <w:r>
        <w:rPr>
          <w:rFonts w:hint="eastAsia" w:ascii="仿宋_GB2312" w:hAnsi="FangSong" w:eastAsia="仿宋_GB2312"/>
          <w:sz w:val="32"/>
          <w:szCs w:val="32"/>
          <w:lang w:val="en-US" w:eastAsia="zh-CN"/>
        </w:rPr>
        <w:t>0</w:t>
      </w:r>
      <w:r>
        <w:rPr>
          <w:rFonts w:hint="eastAsia" w:ascii="仿宋_GB2312" w:hAnsi="FangSong" w:eastAsia="仿宋_GB2312"/>
          <w:sz w:val="32"/>
          <w:szCs w:val="32"/>
        </w:rPr>
        <w:t>万元</w:t>
      </w:r>
      <w:r>
        <w:rPr>
          <w:rFonts w:hint="eastAsia" w:ascii="仿宋_GB2312" w:hAnsi="FangSong" w:eastAsia="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contextualSpacing/>
        <w:textAlignment w:val="auto"/>
        <w:rPr>
          <w:rFonts w:ascii="SimHei" w:hAnsi="SimHei" w:eastAsia="SimHei" w:cs="SimSun"/>
          <w:kern w:val="0"/>
          <w:sz w:val="32"/>
          <w:szCs w:val="32"/>
        </w:rPr>
      </w:pPr>
      <w:r>
        <w:rPr>
          <w:rFonts w:hint="eastAsia" w:ascii="SimHei" w:hAnsi="SimHei" w:eastAsia="SimHei" w:cs="SimSun"/>
          <w:kern w:val="0"/>
          <w:sz w:val="32"/>
          <w:szCs w:val="32"/>
        </w:rPr>
        <w:t>六、一般公共预算财政拨款机关运行经费情况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ascii="仿宋_GB2312" w:hAnsi="FangSong" w:eastAsia="仿宋_GB2312"/>
          <w:sz w:val="32"/>
          <w:szCs w:val="32"/>
        </w:rPr>
      </w:pPr>
      <w:r>
        <w:rPr>
          <w:rFonts w:hint="eastAsia" w:ascii="仿宋_GB2312" w:hAnsi="FangSong" w:eastAsia="仿宋_GB2312"/>
          <w:sz w:val="32"/>
          <w:szCs w:val="32"/>
        </w:rPr>
        <w:t>机关运行经费</w:t>
      </w:r>
      <w:r>
        <w:rPr>
          <w:rFonts w:hint="eastAsia" w:ascii="仿宋_GB2312" w:hAnsi="FangSong" w:eastAsia="仿宋_GB2312"/>
          <w:sz w:val="32"/>
          <w:szCs w:val="32"/>
          <w:lang w:val="en-US" w:eastAsia="zh-CN"/>
        </w:rPr>
        <w:t>0</w:t>
      </w:r>
      <w:r>
        <w:rPr>
          <w:rFonts w:hint="eastAsia" w:ascii="仿宋_GB2312" w:hAnsi="FangSong" w:eastAsia="仿宋_GB2312"/>
          <w:sz w:val="32"/>
          <w:szCs w:val="32"/>
        </w:rPr>
        <w:t>万元</w:t>
      </w:r>
      <w:r>
        <w:rPr>
          <w:rFonts w:hint="eastAsia" w:ascii="仿宋_GB2312" w:hAnsi="FangSong" w:eastAsia="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contextualSpacing/>
        <w:textAlignment w:val="auto"/>
        <w:rPr>
          <w:rFonts w:ascii="SimHei" w:hAnsi="SimHei" w:eastAsia="SimHei" w:cs="SimSun"/>
          <w:kern w:val="0"/>
          <w:sz w:val="32"/>
          <w:szCs w:val="32"/>
        </w:rPr>
      </w:pPr>
      <w:r>
        <w:rPr>
          <w:rFonts w:hint="eastAsia" w:ascii="SimHei" w:hAnsi="SimHei" w:eastAsia="SimHei" w:cs="SimSun"/>
          <w:kern w:val="0"/>
          <w:sz w:val="32"/>
          <w:szCs w:val="32"/>
        </w:rPr>
        <w:t>七、政府采购安排情况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仿宋_GB2312" w:hAnsi="FangSong" w:eastAsia="仿宋_GB2312"/>
          <w:sz w:val="32"/>
          <w:szCs w:val="32"/>
          <w:lang w:val="en-US" w:eastAsia="zh-CN"/>
        </w:rPr>
      </w:pPr>
      <w:r>
        <w:rPr>
          <w:rFonts w:hint="eastAsia" w:ascii="仿宋_GB2312" w:hAnsi="FangSong" w:eastAsia="仿宋_GB2312"/>
          <w:sz w:val="32"/>
          <w:szCs w:val="32"/>
        </w:rPr>
        <w:t xml:space="preserve">2024年，单位政府采购预算总额 </w:t>
      </w:r>
      <w:r>
        <w:rPr>
          <w:rFonts w:hint="eastAsia" w:ascii="仿宋_GB2312" w:hAnsi="FangSong" w:eastAsia="仿宋_GB2312"/>
          <w:sz w:val="32"/>
          <w:szCs w:val="32"/>
          <w:lang w:val="en-US" w:eastAsia="zh-CN"/>
        </w:rPr>
        <w:t>25</w:t>
      </w:r>
      <w:r>
        <w:rPr>
          <w:rFonts w:hint="eastAsia" w:ascii="仿宋_GB2312" w:hAnsi="FangSong" w:eastAsia="仿宋_GB2312"/>
          <w:sz w:val="32"/>
          <w:szCs w:val="32"/>
        </w:rPr>
        <w:t xml:space="preserve">万元，其中：政府采购货物预算 </w:t>
      </w:r>
      <w:r>
        <w:rPr>
          <w:rFonts w:hint="eastAsia" w:ascii="仿宋_GB2312" w:hAnsi="FangSong" w:eastAsia="仿宋_GB2312"/>
          <w:sz w:val="32"/>
          <w:szCs w:val="32"/>
          <w:lang w:val="en-US" w:eastAsia="zh-CN"/>
        </w:rPr>
        <w:t>25</w:t>
      </w:r>
      <w:r>
        <w:rPr>
          <w:rFonts w:hint="eastAsia" w:ascii="仿宋_GB2312" w:hAnsi="FangSong" w:eastAsia="仿宋_GB2312"/>
          <w:sz w:val="32"/>
          <w:szCs w:val="32"/>
        </w:rPr>
        <w:t>万元</w:t>
      </w:r>
      <w:r>
        <w:rPr>
          <w:rFonts w:hint="eastAsia" w:ascii="仿宋_GB2312" w:hAnsi="FangSong"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ascii="仿宋_GB2312" w:hAnsi="FangSong" w:eastAsia="仿宋_GB2312"/>
          <w:sz w:val="32"/>
          <w:szCs w:val="32"/>
        </w:rPr>
      </w:pPr>
      <w:r>
        <w:rPr>
          <w:rFonts w:hint="eastAsia" w:ascii="仿宋_GB2312" w:hAnsi="FangSong" w:eastAsia="仿宋_GB2312"/>
          <w:sz w:val="32"/>
          <w:szCs w:val="32"/>
        </w:rPr>
        <w:t xml:space="preserve">2024年，单位面向中小企业预留政府采购项目预算金额 </w:t>
      </w:r>
      <w:r>
        <w:rPr>
          <w:rFonts w:hint="eastAsia" w:ascii="仿宋_GB2312" w:hAnsi="FangSong" w:eastAsia="仿宋_GB2312"/>
          <w:sz w:val="32"/>
          <w:szCs w:val="32"/>
          <w:lang w:val="en-US" w:eastAsia="zh-CN"/>
        </w:rPr>
        <w:t>35</w:t>
      </w:r>
      <w:r>
        <w:rPr>
          <w:rFonts w:hint="eastAsia" w:ascii="仿宋_GB2312" w:hAnsi="FangSong" w:eastAsia="仿宋_GB2312"/>
          <w:sz w:val="32"/>
          <w:szCs w:val="32"/>
        </w:rPr>
        <w:t xml:space="preserve"> 万元，小微企业预留政府采购项目预算金额 </w:t>
      </w:r>
      <w:r>
        <w:rPr>
          <w:rFonts w:hint="eastAsia" w:ascii="仿宋_GB2312" w:hAnsi="FangSong" w:eastAsia="仿宋_GB2312"/>
          <w:sz w:val="32"/>
          <w:szCs w:val="32"/>
          <w:lang w:val="en-US" w:eastAsia="zh-CN"/>
        </w:rPr>
        <w:t>35</w:t>
      </w:r>
      <w:r>
        <w:rPr>
          <w:rFonts w:hint="eastAsia" w:ascii="仿宋_GB2312" w:hAnsi="FangSong" w:eastAsia="仿宋_GB2312"/>
          <w:sz w:val="32"/>
          <w:szCs w:val="32"/>
        </w:rPr>
        <w:t>万元。</w:t>
      </w:r>
    </w:p>
    <w:p>
      <w:pPr>
        <w:keepNext w:val="0"/>
        <w:keepLines w:val="0"/>
        <w:pageBreakBefore w:val="0"/>
        <w:kinsoku/>
        <w:wordWrap/>
        <w:overflowPunct/>
        <w:topLinePunct w:val="0"/>
        <w:autoSpaceDE/>
        <w:autoSpaceDN/>
        <w:bidi w:val="0"/>
        <w:adjustRightInd w:val="0"/>
        <w:snapToGrid w:val="0"/>
        <w:spacing w:line="580" w:lineRule="exact"/>
        <w:ind w:firstLine="640" w:firstLineChars="200"/>
        <w:contextualSpacing/>
        <w:textAlignment w:val="auto"/>
        <w:rPr>
          <w:rFonts w:ascii="SimHei" w:hAnsi="SimHei" w:eastAsia="SimHei" w:cs="SimSun"/>
          <w:kern w:val="0"/>
          <w:sz w:val="32"/>
          <w:szCs w:val="32"/>
        </w:rPr>
      </w:pPr>
      <w:r>
        <w:rPr>
          <w:rFonts w:hint="eastAsia" w:ascii="SimHei" w:hAnsi="SimHei" w:eastAsia="SimHei" w:cs="SimSun"/>
          <w:kern w:val="0"/>
          <w:sz w:val="32"/>
          <w:szCs w:val="32"/>
        </w:rPr>
        <w:t>八、国有资产占用情况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ascii="仿宋_GB2312" w:hAnsi="FangSong" w:eastAsia="仿宋_GB2312"/>
          <w:sz w:val="32"/>
          <w:szCs w:val="32"/>
        </w:rPr>
      </w:pPr>
      <w:r>
        <w:rPr>
          <w:rFonts w:hint="eastAsia" w:ascii="仿宋_GB2312" w:hAnsi="FangSong" w:eastAsia="仿宋_GB2312"/>
          <w:sz w:val="32"/>
          <w:szCs w:val="32"/>
        </w:rPr>
        <w:t>上年末固定资产金额为</w:t>
      </w:r>
      <w:r>
        <w:rPr>
          <w:rFonts w:hint="eastAsia" w:ascii="仿宋_GB2312" w:hAnsi="FangSong" w:eastAsia="仿宋_GB2312"/>
          <w:sz w:val="32"/>
          <w:szCs w:val="32"/>
          <w:lang w:val="en-US" w:eastAsia="zh-CN"/>
        </w:rPr>
        <w:t>1620.85</w:t>
      </w:r>
      <w:r>
        <w:rPr>
          <w:rFonts w:hint="eastAsia" w:ascii="仿宋_GB2312" w:hAnsi="FangSong" w:eastAsia="仿宋_GB2312"/>
          <w:sz w:val="32"/>
          <w:szCs w:val="32"/>
        </w:rPr>
        <w:t>万元。其中：办公用房</w:t>
      </w:r>
      <w:r>
        <w:rPr>
          <w:rFonts w:hint="eastAsia" w:ascii="仿宋_GB2312" w:hAnsi="FangSong" w:eastAsia="仿宋_GB2312"/>
          <w:sz w:val="32"/>
          <w:szCs w:val="32"/>
          <w:lang w:val="en-US" w:eastAsia="zh-CN"/>
        </w:rPr>
        <w:t>817</w:t>
      </w:r>
      <w:r>
        <w:rPr>
          <w:rFonts w:hint="eastAsia" w:ascii="仿宋_GB2312" w:hAnsi="FangSong" w:eastAsia="仿宋_GB2312"/>
          <w:sz w:val="32"/>
          <w:szCs w:val="32"/>
        </w:rPr>
        <w:t>平方米，价值</w:t>
      </w:r>
      <w:r>
        <w:rPr>
          <w:rFonts w:hint="eastAsia" w:ascii="仿宋_GB2312" w:hAnsi="FangSong" w:eastAsia="仿宋_GB2312"/>
          <w:sz w:val="32"/>
          <w:szCs w:val="32"/>
          <w:lang w:val="en-US" w:eastAsia="zh-CN"/>
        </w:rPr>
        <w:t>100.13</w:t>
      </w:r>
      <w:r>
        <w:rPr>
          <w:rFonts w:hint="eastAsia" w:ascii="仿宋_GB2312" w:hAnsi="FangSong" w:eastAsia="仿宋_GB2312"/>
          <w:sz w:val="32"/>
          <w:szCs w:val="32"/>
        </w:rPr>
        <w:t>万元。预算单位共有公务用车</w:t>
      </w:r>
      <w:r>
        <w:rPr>
          <w:rFonts w:hint="eastAsia" w:ascii="仿宋_GB2312" w:hAnsi="FangSong" w:eastAsia="仿宋_GB2312"/>
          <w:sz w:val="32"/>
          <w:szCs w:val="32"/>
          <w:lang w:val="en-US" w:eastAsia="zh-CN"/>
        </w:rPr>
        <w:t>0</w:t>
      </w:r>
      <w:r>
        <w:rPr>
          <w:rFonts w:hint="eastAsia" w:ascii="仿宋_GB2312" w:hAnsi="FangSong" w:eastAsia="仿宋_GB2312"/>
          <w:sz w:val="32"/>
          <w:szCs w:val="32"/>
        </w:rPr>
        <w:t>辆，价值</w:t>
      </w:r>
      <w:r>
        <w:rPr>
          <w:rFonts w:hint="eastAsia" w:ascii="仿宋_GB2312" w:hAnsi="FangSong" w:eastAsia="仿宋_GB2312"/>
          <w:sz w:val="32"/>
          <w:szCs w:val="32"/>
          <w:lang w:val="en-US" w:eastAsia="zh-CN"/>
        </w:rPr>
        <w:t>0</w:t>
      </w:r>
      <w:r>
        <w:rPr>
          <w:rFonts w:hint="eastAsia" w:ascii="仿宋_GB2312" w:hAnsi="FangSong" w:eastAsia="仿宋_GB2312"/>
          <w:sz w:val="32"/>
          <w:szCs w:val="32"/>
        </w:rPr>
        <w:t>万元。单价20万元以上的设备价值</w:t>
      </w:r>
      <w:r>
        <w:rPr>
          <w:rFonts w:hint="eastAsia" w:ascii="仿宋_GB2312" w:hAnsi="FangSong" w:eastAsia="仿宋_GB2312"/>
          <w:sz w:val="32"/>
          <w:szCs w:val="32"/>
          <w:lang w:val="en-US" w:eastAsia="zh-CN"/>
        </w:rPr>
        <w:t>0</w:t>
      </w:r>
      <w:r>
        <w:rPr>
          <w:rFonts w:hint="eastAsia" w:ascii="仿宋_GB2312" w:hAnsi="FangSong" w:eastAsia="仿宋_GB2312"/>
          <w:sz w:val="32"/>
          <w:szCs w:val="32"/>
        </w:rPr>
        <w:t>万元。2024年拟采购固定资产约</w:t>
      </w:r>
      <w:r>
        <w:rPr>
          <w:rFonts w:hint="eastAsia" w:ascii="仿宋_GB2312" w:hAnsi="FangSong" w:eastAsia="仿宋_GB2312"/>
          <w:sz w:val="32"/>
          <w:szCs w:val="32"/>
          <w:lang w:val="en-US" w:eastAsia="zh-CN"/>
        </w:rPr>
        <w:t>15</w:t>
      </w:r>
      <w:r>
        <w:rPr>
          <w:rFonts w:hint="eastAsia" w:ascii="仿宋_GB2312" w:hAnsi="FangSong" w:eastAsia="仿宋_GB2312"/>
          <w:sz w:val="32"/>
          <w:szCs w:val="32"/>
        </w:rPr>
        <w:t>万元。</w:t>
      </w:r>
    </w:p>
    <w:p>
      <w:pPr>
        <w:keepNext w:val="0"/>
        <w:keepLines w:val="0"/>
        <w:pageBreakBefore w:val="0"/>
        <w:kinsoku/>
        <w:wordWrap/>
        <w:overflowPunct/>
        <w:topLinePunct w:val="0"/>
        <w:autoSpaceDE/>
        <w:autoSpaceDN/>
        <w:bidi w:val="0"/>
        <w:adjustRightInd w:val="0"/>
        <w:snapToGrid w:val="0"/>
        <w:spacing w:line="580" w:lineRule="exact"/>
        <w:ind w:firstLine="640" w:firstLineChars="200"/>
        <w:contextualSpacing/>
        <w:textAlignment w:val="auto"/>
        <w:rPr>
          <w:rFonts w:ascii="SimHei" w:hAnsi="SimHei" w:eastAsia="SimHei" w:cs="SimSun"/>
          <w:kern w:val="0"/>
          <w:sz w:val="32"/>
          <w:szCs w:val="32"/>
        </w:rPr>
      </w:pPr>
      <w:r>
        <w:rPr>
          <w:rFonts w:hint="eastAsia" w:ascii="SimHei" w:hAnsi="SimHei" w:eastAsia="SimHei" w:cs="SimSun"/>
          <w:kern w:val="0"/>
          <w:sz w:val="32"/>
          <w:szCs w:val="32"/>
        </w:rPr>
        <w:t>九、其他重要事项情况说明</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textAlignment w:val="auto"/>
        <w:rPr>
          <w:rFonts w:ascii="楷体_GB2312" w:hAnsi="KaiTi" w:eastAsia="楷体_GB2312" w:cs="SimSun"/>
          <w:b/>
          <w:bCs/>
          <w:kern w:val="0"/>
          <w:sz w:val="32"/>
          <w:szCs w:val="32"/>
        </w:rPr>
      </w:pPr>
      <w:r>
        <w:rPr>
          <w:rFonts w:hint="eastAsia" w:ascii="楷体_GB2312" w:hAnsi="KaiTi" w:eastAsia="楷体_GB2312" w:cs="SimSun"/>
          <w:b/>
          <w:bCs/>
          <w:kern w:val="0"/>
          <w:sz w:val="32"/>
          <w:szCs w:val="32"/>
        </w:rPr>
        <w:t>（一）政府性基金预算支出情况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ascii="仿宋_GB2312" w:hAnsi="FangSong" w:eastAsia="仿宋_GB2312"/>
          <w:sz w:val="32"/>
          <w:szCs w:val="32"/>
        </w:rPr>
      </w:pPr>
      <w:r>
        <w:rPr>
          <w:rFonts w:hint="eastAsia" w:ascii="仿宋_GB2312" w:hAnsi="FangSong" w:eastAsia="仿宋_GB2312"/>
          <w:sz w:val="32"/>
          <w:szCs w:val="32"/>
        </w:rPr>
        <w:t>未安排预算，政府性基金预算支出情况表为空表。</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textAlignment w:val="auto"/>
        <w:rPr>
          <w:rFonts w:ascii="楷体_GB2312" w:hAnsi="KaiTi" w:eastAsia="楷体_GB2312" w:cs="SimSun"/>
          <w:b/>
          <w:bCs/>
          <w:kern w:val="0"/>
          <w:sz w:val="32"/>
          <w:szCs w:val="32"/>
        </w:rPr>
      </w:pPr>
      <w:r>
        <w:rPr>
          <w:rFonts w:hint="eastAsia" w:ascii="楷体_GB2312" w:hAnsi="KaiTi" w:eastAsia="楷体_GB2312" w:cs="SimSun"/>
          <w:b/>
          <w:bCs/>
          <w:kern w:val="0"/>
          <w:sz w:val="32"/>
          <w:szCs w:val="32"/>
        </w:rPr>
        <w:t>（二）非税收入情况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ascii="仿宋_GB2312" w:hAnsi="FangSong" w:eastAsia="仿宋_GB2312"/>
          <w:sz w:val="32"/>
          <w:szCs w:val="32"/>
        </w:rPr>
      </w:pPr>
      <w:r>
        <w:rPr>
          <w:rFonts w:hint="eastAsia" w:ascii="仿宋_GB2312" w:hAnsi="FangSong" w:eastAsia="仿宋_GB2312"/>
          <w:sz w:val="32"/>
          <w:szCs w:val="32"/>
          <w:lang w:val="en-US" w:eastAsia="zh-CN"/>
        </w:rPr>
        <w:t>本</w:t>
      </w:r>
      <w:r>
        <w:rPr>
          <w:rFonts w:hint="eastAsia" w:ascii="仿宋_GB2312" w:hAnsi="FangSong" w:eastAsia="仿宋_GB2312"/>
          <w:sz w:val="32"/>
          <w:szCs w:val="32"/>
        </w:rPr>
        <w:t>单位2024年</w:t>
      </w:r>
      <w:r>
        <w:rPr>
          <w:rFonts w:ascii="仿宋_GB2312" w:hAnsi="FangSong" w:eastAsia="仿宋_GB2312"/>
          <w:sz w:val="32"/>
          <w:szCs w:val="32"/>
        </w:rPr>
        <w:t>无非税收入</w:t>
      </w:r>
      <w:r>
        <w:rPr>
          <w:rFonts w:hint="eastAsia" w:ascii="仿宋_GB2312" w:hAnsi="FangSong" w:eastAsia="仿宋_GB2312"/>
          <w:sz w:val="32"/>
          <w:szCs w:val="32"/>
        </w:rPr>
        <w:t>。”</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textAlignment w:val="auto"/>
        <w:rPr>
          <w:rFonts w:ascii="楷体_GB2312" w:hAnsi="KaiTi" w:eastAsia="楷体_GB2312" w:cs="SimSun"/>
          <w:b/>
          <w:bCs/>
          <w:kern w:val="0"/>
          <w:sz w:val="32"/>
          <w:szCs w:val="32"/>
        </w:rPr>
      </w:pPr>
      <w:r>
        <w:rPr>
          <w:rFonts w:hint="eastAsia" w:ascii="楷体_GB2312" w:hAnsi="KaiTi" w:eastAsia="楷体_GB2312" w:cs="SimSun"/>
          <w:b/>
          <w:bCs/>
          <w:kern w:val="0"/>
          <w:sz w:val="32"/>
          <w:szCs w:val="32"/>
        </w:rPr>
        <w:t>（三）重点项目情况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ascii="仿宋_GB2312" w:hAnsi="FangSong" w:eastAsia="仿宋_GB2312"/>
          <w:sz w:val="32"/>
          <w:szCs w:val="32"/>
        </w:rPr>
      </w:pPr>
      <w:r>
        <w:rPr>
          <w:rFonts w:hint="eastAsia" w:ascii="仿宋_GB2312" w:hAnsi="FangSong" w:eastAsia="仿宋_GB2312"/>
          <w:sz w:val="32"/>
          <w:szCs w:val="32"/>
        </w:rPr>
        <w:t>本单位年初预算未安排项目支出，无重点项目说明。</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textAlignment w:val="auto"/>
        <w:rPr>
          <w:rFonts w:ascii="楷体_GB2312" w:hAnsi="KaiTi" w:eastAsia="楷体_GB2312" w:cs="SimSun"/>
          <w:b/>
          <w:bCs/>
          <w:kern w:val="0"/>
          <w:sz w:val="32"/>
          <w:szCs w:val="32"/>
        </w:rPr>
      </w:pPr>
      <w:r>
        <w:rPr>
          <w:rFonts w:hint="eastAsia" w:ascii="楷体_GB2312" w:hAnsi="KaiTi" w:eastAsia="楷体_GB2312" w:cs="SimSun"/>
          <w:b/>
          <w:bCs/>
          <w:kern w:val="0"/>
          <w:sz w:val="32"/>
          <w:szCs w:val="32"/>
        </w:rPr>
        <w:t>（四）部门管理转移支付情况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ascii="仿宋_GB2312" w:hAnsi="FangSong" w:eastAsia="仿宋_GB2312"/>
          <w:sz w:val="32"/>
          <w:szCs w:val="32"/>
        </w:rPr>
      </w:pPr>
      <w:r>
        <w:rPr>
          <w:rFonts w:hint="eastAsia" w:ascii="仿宋_GB2312" w:hAnsi="FangSong" w:eastAsia="仿宋_GB2312"/>
          <w:sz w:val="32"/>
          <w:szCs w:val="32"/>
        </w:rPr>
        <w:t>未安排预算，单位管理转移支付表为空表。</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textAlignment w:val="auto"/>
        <w:rPr>
          <w:rFonts w:ascii="楷体_GB2312" w:hAnsi="KaiTi" w:eastAsia="楷体_GB2312" w:cs="SimSun"/>
          <w:b/>
          <w:bCs/>
          <w:kern w:val="0"/>
          <w:sz w:val="32"/>
          <w:szCs w:val="32"/>
        </w:rPr>
      </w:pPr>
      <w:r>
        <w:rPr>
          <w:rFonts w:hint="eastAsia" w:ascii="楷体_GB2312" w:hAnsi="KaiTi" w:eastAsia="楷体_GB2312" w:cs="SimSun"/>
          <w:b/>
          <w:bCs/>
          <w:kern w:val="0"/>
          <w:sz w:val="32"/>
          <w:szCs w:val="32"/>
        </w:rPr>
        <w:t>（五）国有资本经营预算支出情况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ascii="仿宋_GB2312" w:hAnsi="KaiTi" w:eastAsia="仿宋_GB2312"/>
          <w:sz w:val="32"/>
          <w:szCs w:val="32"/>
        </w:rPr>
      </w:pPr>
      <w:r>
        <w:rPr>
          <w:rFonts w:hint="eastAsia" w:ascii="仿宋_GB2312" w:hAnsi="KaiTi" w:eastAsia="仿宋_GB2312"/>
          <w:sz w:val="32"/>
          <w:szCs w:val="32"/>
        </w:rPr>
        <w:t>未安排预算，国有资本经营预算支出情况表为空表。</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textAlignment w:val="auto"/>
        <w:rPr>
          <w:rFonts w:ascii="楷体_GB2312" w:hAnsi="KaiTi" w:eastAsia="楷体_GB2312" w:cs="SimSun"/>
          <w:b/>
          <w:bCs/>
          <w:kern w:val="0"/>
          <w:sz w:val="32"/>
          <w:szCs w:val="32"/>
        </w:rPr>
      </w:pPr>
      <w:r>
        <w:rPr>
          <w:rFonts w:hint="eastAsia" w:ascii="楷体_GB2312" w:hAnsi="KaiTi" w:eastAsia="楷体_GB2312" w:cs="SimSun"/>
          <w:b/>
          <w:bCs/>
          <w:kern w:val="0"/>
          <w:sz w:val="32"/>
          <w:szCs w:val="32"/>
        </w:rPr>
        <w:t>十、名词解释</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textAlignment w:val="auto"/>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1、财政拨款:</w:t>
      </w:r>
      <w:r>
        <w:rPr>
          <w:rFonts w:hint="eastAsia" w:ascii="仿宋_GB2312" w:hAnsi="CIDFont+F6" w:eastAsia="仿宋_GB2312"/>
          <w:color w:val="000000"/>
          <w:sz w:val="32"/>
          <w:szCs w:val="32"/>
        </w:rPr>
        <w:t>指由一般公共预算、政府性基金预算、国有资本经营预算安排的财政拨款数。</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textAlignment w:val="auto"/>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2、一般公共预算:</w:t>
      </w:r>
      <w:r>
        <w:rPr>
          <w:rFonts w:hint="eastAsia" w:ascii="仿宋_GB2312" w:hAnsi="CIDFont+F6" w:eastAsia="仿宋_GB2312"/>
          <w:color w:val="000000"/>
          <w:sz w:val="32"/>
          <w:szCs w:val="32"/>
        </w:rPr>
        <w:t>包括公共财政拨款（补助）资金、专项收入。</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textAlignment w:val="auto"/>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3、财政专户管理资金:</w:t>
      </w:r>
      <w:r>
        <w:rPr>
          <w:rFonts w:hint="eastAsia" w:ascii="仿宋_GB2312" w:hAnsi="CIDFont+F6" w:eastAsia="仿宋_GB2312"/>
          <w:color w:val="000000"/>
          <w:sz w:val="32"/>
          <w:szCs w:val="32"/>
        </w:rPr>
        <w:t>包括专户管理行政事业性收费（主要是教育收费）、其他非税收入。</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textAlignment w:val="auto"/>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4、其他资金:</w:t>
      </w:r>
      <w:r>
        <w:rPr>
          <w:rFonts w:hint="eastAsia" w:ascii="仿宋_GB2312" w:hAnsi="CIDFont+F6" w:eastAsia="仿宋_GB2312"/>
          <w:color w:val="000000"/>
          <w:sz w:val="32"/>
          <w:szCs w:val="32"/>
        </w:rPr>
        <w:t>包括事业收入、事业经营收入、其他收入等。</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textAlignment w:val="auto"/>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5、基本支出:</w:t>
      </w:r>
      <w:r>
        <w:rPr>
          <w:rFonts w:hint="eastAsia" w:ascii="仿宋_GB2312" w:hAnsi="CIDFont+F6" w:eastAsia="仿宋_GB2312"/>
          <w:color w:val="000000"/>
          <w:sz w:val="32"/>
          <w:szCs w:val="32"/>
        </w:rPr>
        <w:t>包括人员经费、公用经费（定额）。其中，人员经费包括工资福利支出、对个人和家庭的补助。</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textAlignment w:val="auto"/>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6、项目支出:</w:t>
      </w:r>
      <w:r>
        <w:rPr>
          <w:rFonts w:hint="eastAsia" w:ascii="仿宋_GB2312" w:hAnsi="CIDFont+F6" w:eastAsia="仿宋_GB2312"/>
          <w:color w:val="000000"/>
          <w:sz w:val="32"/>
          <w:szCs w:val="32"/>
        </w:rPr>
        <w:t>单位支出预算的组成部分，是单位为完成其特定的行政任务或事业发展目标，在基本支出预算之外编制的年度项目支出计划。</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textAlignment w:val="auto"/>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7、“三公”经费:</w:t>
      </w:r>
      <w:r>
        <w:rPr>
          <w:rFonts w:hint="eastAsia" w:ascii="仿宋_GB2312" w:hAnsi="CIDFont+F6" w:eastAsia="仿宋_GB2312"/>
          <w:color w:val="000000"/>
          <w:sz w:val="32"/>
          <w:szCs w:val="32"/>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textAlignment w:val="auto"/>
        <w:rPr>
          <w:rFonts w:hint="eastAsia" w:ascii="仿宋_GB2312" w:hAnsi="CIDFont+F4" w:eastAsia="仿宋_GB2312"/>
          <w:b/>
          <w:color w:val="000000"/>
          <w:sz w:val="32"/>
          <w:szCs w:val="32"/>
        </w:rPr>
      </w:pPr>
      <w:r>
        <w:rPr>
          <w:rFonts w:hint="eastAsia" w:ascii="仿宋_GB2312" w:hAnsi="CIDFont+F4" w:eastAsia="仿宋_GB2312"/>
          <w:b/>
          <w:color w:val="000000"/>
          <w:sz w:val="32"/>
          <w:szCs w:val="32"/>
        </w:rPr>
        <w:t>8、机关运行经费:</w:t>
      </w:r>
      <w:r>
        <w:rPr>
          <w:rFonts w:hint="eastAsia" w:ascii="仿宋_GB2312" w:hAnsi="CIDFont+F6" w:eastAsia="仿宋_GB2312"/>
          <w:color w:val="000000"/>
          <w:sz w:val="32"/>
          <w:szCs w:val="32"/>
        </w:rPr>
        <w:t>为保障行政单位（包括实行公务员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val="0"/>
        <w:snapToGrid w:val="0"/>
        <w:spacing w:line="580" w:lineRule="exact"/>
        <w:contextualSpacing/>
        <w:jc w:val="right"/>
        <w:textAlignment w:val="auto"/>
        <w:rPr>
          <w:rFonts w:hint="eastAsia" w:ascii="仿宋_GB2312" w:hAnsi="CIDFont+F6" w:eastAsia="仿宋_GB2312"/>
          <w:color w:val="000000"/>
          <w:sz w:val="32"/>
          <w:szCs w:val="32"/>
        </w:rPr>
      </w:pPr>
    </w:p>
    <w:p>
      <w:pPr>
        <w:keepNext w:val="0"/>
        <w:keepLines w:val="0"/>
        <w:pageBreakBefore w:val="0"/>
        <w:kinsoku/>
        <w:wordWrap/>
        <w:overflowPunct/>
        <w:topLinePunct w:val="0"/>
        <w:autoSpaceDE/>
        <w:autoSpaceDN/>
        <w:bidi w:val="0"/>
        <w:adjustRightInd w:val="0"/>
        <w:snapToGrid w:val="0"/>
        <w:spacing w:line="580" w:lineRule="exact"/>
        <w:contextualSpacing/>
        <w:jc w:val="right"/>
        <w:textAlignment w:val="auto"/>
        <w:rPr>
          <w:rFonts w:hint="eastAsia" w:ascii="仿宋_GB2312" w:hAnsi="CIDFont+F6" w:eastAsia="仿宋_GB2312"/>
          <w:color w:val="000000"/>
          <w:sz w:val="32"/>
          <w:szCs w:val="32"/>
        </w:rPr>
      </w:pPr>
    </w:p>
    <w:p>
      <w:pPr>
        <w:keepNext w:val="0"/>
        <w:keepLines w:val="0"/>
        <w:pageBreakBefore w:val="0"/>
        <w:kinsoku/>
        <w:wordWrap/>
        <w:overflowPunct/>
        <w:topLinePunct w:val="0"/>
        <w:autoSpaceDE/>
        <w:autoSpaceDN/>
        <w:bidi w:val="0"/>
        <w:adjustRightInd w:val="0"/>
        <w:snapToGrid w:val="0"/>
        <w:spacing w:line="580" w:lineRule="exact"/>
        <w:contextualSpacing/>
        <w:jc w:val="right"/>
        <w:textAlignment w:val="auto"/>
        <w:rPr>
          <w:rFonts w:hint="eastAsia" w:ascii="仿宋_GB2312" w:hAnsi="CIDFont+F6" w:eastAsia="仿宋_GB2312"/>
          <w:color w:val="000000"/>
          <w:sz w:val="32"/>
          <w:szCs w:val="32"/>
        </w:rPr>
      </w:pPr>
    </w:p>
    <w:p>
      <w:pPr>
        <w:keepNext w:val="0"/>
        <w:keepLines w:val="0"/>
        <w:pageBreakBefore w:val="0"/>
        <w:kinsoku/>
        <w:wordWrap/>
        <w:overflowPunct/>
        <w:topLinePunct w:val="0"/>
        <w:autoSpaceDE/>
        <w:autoSpaceDN/>
        <w:bidi w:val="0"/>
        <w:adjustRightInd w:val="0"/>
        <w:snapToGrid w:val="0"/>
        <w:spacing w:line="580" w:lineRule="exact"/>
        <w:contextualSpacing/>
        <w:jc w:val="right"/>
        <w:textAlignment w:val="auto"/>
        <w:rPr>
          <w:rFonts w:hint="eastAsia" w:ascii="仿宋_GB2312" w:hAnsi="CIDFont+F6" w:eastAsia="仿宋_GB2312"/>
          <w:color w:val="000000"/>
          <w:sz w:val="32"/>
          <w:szCs w:val="32"/>
        </w:rPr>
      </w:pPr>
    </w:p>
    <w:p>
      <w:pPr>
        <w:keepNext w:val="0"/>
        <w:keepLines w:val="0"/>
        <w:pageBreakBefore w:val="0"/>
        <w:kinsoku/>
        <w:wordWrap/>
        <w:overflowPunct/>
        <w:topLinePunct w:val="0"/>
        <w:autoSpaceDE/>
        <w:autoSpaceDN/>
        <w:bidi w:val="0"/>
        <w:adjustRightInd w:val="0"/>
        <w:snapToGrid w:val="0"/>
        <w:spacing w:line="580" w:lineRule="exact"/>
        <w:ind w:right="960"/>
        <w:contextualSpacing/>
        <w:jc w:val="center"/>
        <w:textAlignment w:val="auto"/>
        <w:rPr>
          <w:rFonts w:hint="eastAsia" w:ascii="仿宋_GB2312" w:hAnsi="CIDFont+F6" w:eastAsia="仿宋_GB2312"/>
          <w:color w:val="000000"/>
          <w:sz w:val="32"/>
          <w:szCs w:val="32"/>
          <w:lang w:val="en-US" w:eastAsia="zh-CN"/>
        </w:rPr>
      </w:pPr>
      <w:r>
        <w:rPr>
          <w:rFonts w:hint="eastAsia" w:ascii="仿宋_GB2312" w:hAnsi="CIDFont+F6" w:eastAsia="仿宋_GB2312"/>
          <w:color w:val="000000"/>
          <w:sz w:val="32"/>
          <w:szCs w:val="32"/>
          <w:lang w:val="en-US" w:eastAsia="zh-CN"/>
        </w:rPr>
        <w:t xml:space="preserve">                                  东乡族自治县第五中学</w:t>
      </w:r>
    </w:p>
    <w:p>
      <w:pPr>
        <w:keepNext w:val="0"/>
        <w:keepLines w:val="0"/>
        <w:pageBreakBefore w:val="0"/>
        <w:kinsoku/>
        <w:wordWrap/>
        <w:overflowPunct/>
        <w:topLinePunct w:val="0"/>
        <w:autoSpaceDE/>
        <w:autoSpaceDN/>
        <w:bidi w:val="0"/>
        <w:adjustRightInd w:val="0"/>
        <w:snapToGrid w:val="0"/>
        <w:spacing w:line="580" w:lineRule="exact"/>
        <w:ind w:right="1120"/>
        <w:contextualSpacing/>
        <w:jc w:val="right"/>
        <w:textAlignment w:val="auto"/>
        <w:rPr>
          <w:rFonts w:ascii="仿宋_GB2312" w:eastAsia="仿宋_GB2312"/>
          <w:sz w:val="32"/>
          <w:szCs w:val="32"/>
        </w:rPr>
      </w:pPr>
      <w:r>
        <w:rPr>
          <w:rFonts w:hint="eastAsia" w:ascii="仿宋_GB2312" w:hAnsi="CIDFont+F6" w:eastAsia="仿宋_GB2312"/>
          <w:color w:val="000000"/>
          <w:sz w:val="32"/>
          <w:szCs w:val="32"/>
          <w:lang w:val="en-US" w:eastAsia="zh-CN"/>
        </w:rPr>
        <w:t>2024</w:t>
      </w:r>
      <w:r>
        <w:rPr>
          <w:rFonts w:hint="eastAsia" w:ascii="仿宋_GB2312" w:hAnsi="CIDFont+F6" w:eastAsia="仿宋_GB2312"/>
          <w:color w:val="000000"/>
          <w:sz w:val="32"/>
          <w:szCs w:val="32"/>
        </w:rPr>
        <w:t xml:space="preserve">年 </w:t>
      </w:r>
      <w:r>
        <w:rPr>
          <w:rFonts w:hint="eastAsia" w:ascii="仿宋_GB2312" w:hAnsi="CIDFont+F6" w:eastAsia="仿宋_GB2312"/>
          <w:color w:val="000000"/>
          <w:sz w:val="32"/>
          <w:szCs w:val="32"/>
          <w:lang w:val="en-US" w:eastAsia="zh-CN"/>
        </w:rPr>
        <w:t>2</w:t>
      </w:r>
      <w:r>
        <w:rPr>
          <w:rFonts w:hint="eastAsia" w:ascii="仿宋_GB2312" w:hAnsi="CIDFont+F6" w:eastAsia="仿宋_GB2312"/>
          <w:color w:val="000000"/>
          <w:sz w:val="32"/>
          <w:szCs w:val="32"/>
        </w:rPr>
        <w:t xml:space="preserve"> 月 </w:t>
      </w:r>
      <w:r>
        <w:rPr>
          <w:rFonts w:hint="eastAsia" w:ascii="仿宋_GB2312" w:hAnsi="CIDFont+F6" w:eastAsia="仿宋_GB2312"/>
          <w:color w:val="000000"/>
          <w:sz w:val="32"/>
          <w:szCs w:val="32"/>
          <w:lang w:val="en-US" w:eastAsia="zh-CN"/>
        </w:rPr>
        <w:t>16</w:t>
      </w:r>
      <w:bookmarkStart w:id="0" w:name="_GoBack"/>
      <w:bookmarkEnd w:id="0"/>
      <w:r>
        <w:rPr>
          <w:rFonts w:hint="eastAsia" w:ascii="仿宋_GB2312" w:hAnsi="CIDFont+F6" w:eastAsia="仿宋_GB2312"/>
          <w:color w:val="000000"/>
          <w:sz w:val="32"/>
          <w:szCs w:val="32"/>
        </w:rPr>
        <w:t>日</w:t>
      </w:r>
    </w:p>
    <w:p>
      <w:pPr>
        <w:keepNext w:val="0"/>
        <w:keepLines w:val="0"/>
        <w:pageBreakBefore w:val="0"/>
        <w:kinsoku/>
        <w:wordWrap/>
        <w:overflowPunct/>
        <w:topLinePunct w:val="0"/>
        <w:autoSpaceDE/>
        <w:autoSpaceDN/>
        <w:bidi w:val="0"/>
        <w:adjustRightInd w:val="0"/>
        <w:snapToGrid w:val="0"/>
        <w:spacing w:line="580" w:lineRule="exact"/>
        <w:ind w:firstLine="640" w:firstLineChars="200"/>
        <w:contextualSpacing/>
        <w:textAlignment w:val="auto"/>
        <w:rPr>
          <w:rFonts w:ascii="仿宋_GB2312" w:hAnsi="SimSun" w:eastAsia="仿宋_GB2312" w:cs="SimSun"/>
          <w:kern w:val="0"/>
          <w:sz w:val="32"/>
          <w:szCs w:val="32"/>
        </w:rPr>
      </w:pPr>
    </w:p>
    <w:p>
      <w:pPr>
        <w:keepNext w:val="0"/>
        <w:keepLines w:val="0"/>
        <w:pageBreakBefore w:val="0"/>
        <w:kinsoku/>
        <w:wordWrap/>
        <w:overflowPunct/>
        <w:topLinePunct w:val="0"/>
        <w:autoSpaceDE/>
        <w:autoSpaceDN/>
        <w:bidi w:val="0"/>
        <w:adjustRightInd w:val="0"/>
        <w:snapToGrid w:val="0"/>
        <w:spacing w:line="580" w:lineRule="exact"/>
        <w:ind w:firstLine="640" w:firstLineChars="200"/>
        <w:contextualSpacing/>
        <w:textAlignment w:val="auto"/>
        <w:rPr>
          <w:rFonts w:ascii="仿宋_GB2312" w:hAnsi="SimSun" w:eastAsia="仿宋_GB2312" w:cs="SimSun"/>
          <w:spacing w:val="-20"/>
          <w:kern w:val="0"/>
          <w:sz w:val="32"/>
          <w:szCs w:val="32"/>
        </w:rPr>
      </w:pPr>
      <w:r>
        <w:rPr>
          <w:rFonts w:hint="eastAsia" w:ascii="仿宋_GB2312" w:hAnsi="SimSun" w:eastAsia="仿宋_GB2312" w:cs="SimSun"/>
          <w:kern w:val="0"/>
          <w:sz w:val="32"/>
          <w:szCs w:val="32"/>
        </w:rPr>
        <w:t>附件：</w:t>
      </w:r>
      <w:r>
        <w:rPr>
          <w:rFonts w:hint="eastAsia" w:ascii="仿宋_GB2312" w:hAnsi="SimSun" w:eastAsia="仿宋_GB2312" w:cs="SimSun"/>
          <w:spacing w:val="-20"/>
          <w:kern w:val="0"/>
          <w:sz w:val="32"/>
          <w:szCs w:val="32"/>
        </w:rPr>
        <w:t>1.</w:t>
      </w:r>
      <w:r>
        <w:rPr>
          <w:rFonts w:hint="eastAsia" w:ascii="仿宋_GB2312" w:hAnsi="SimSun" w:eastAsia="仿宋_GB2312" w:cs="SimSun"/>
          <w:spacing w:val="-20"/>
          <w:kern w:val="0"/>
          <w:sz w:val="32"/>
          <w:szCs w:val="32"/>
          <w:lang w:val="en-US" w:eastAsia="zh-CN"/>
        </w:rPr>
        <w:t>东乡族自治县第五中学</w:t>
      </w:r>
      <w:r>
        <w:rPr>
          <w:rFonts w:hint="eastAsia" w:ascii="仿宋_GB2312" w:hAnsi="SimSun" w:eastAsia="仿宋_GB2312" w:cs="SimSun"/>
          <w:spacing w:val="-20"/>
          <w:kern w:val="0"/>
          <w:sz w:val="32"/>
          <w:szCs w:val="32"/>
        </w:rPr>
        <w:t xml:space="preserve"> 2024年</w:t>
      </w:r>
      <w:r>
        <w:rPr>
          <w:rFonts w:hint="eastAsia" w:ascii="仿宋_GB2312" w:hAnsi="CIDFont+F6" w:eastAsia="仿宋_GB2312"/>
          <w:color w:val="000000"/>
          <w:sz w:val="32"/>
          <w:szCs w:val="32"/>
        </w:rPr>
        <w:t>单位</w:t>
      </w:r>
      <w:r>
        <w:rPr>
          <w:rFonts w:hint="eastAsia" w:ascii="仿宋_GB2312" w:hAnsi="SimSun" w:eastAsia="仿宋_GB2312" w:cs="SimSun"/>
          <w:spacing w:val="-20"/>
          <w:kern w:val="0"/>
          <w:sz w:val="32"/>
          <w:szCs w:val="32"/>
        </w:rPr>
        <w:t>预算公开表</w:t>
      </w:r>
    </w:p>
    <w:p>
      <w:pPr>
        <w:adjustRightInd w:val="0"/>
        <w:snapToGrid w:val="0"/>
        <w:spacing w:line="640" w:lineRule="exact"/>
        <w:contextualSpacing/>
        <w:rPr>
          <w:rFonts w:ascii="仿宋_GB2312" w:hAnsi="SimSun" w:eastAsia="仿宋_GB2312" w:cs="SimSun"/>
          <w:kern w:val="0"/>
          <w:sz w:val="32"/>
          <w:szCs w:val="32"/>
        </w:rPr>
      </w:pPr>
    </w:p>
    <w:p>
      <w:pPr>
        <w:tabs>
          <w:tab w:val="left" w:pos="1848"/>
        </w:tabs>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panose1 w:val="02010600030101010101"/>
    <w:charset w:val="7A"/>
    <w:family w:val="auto"/>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FangSong"/>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FangSong">
    <w:panose1 w:val="02010609060101010101"/>
    <w:charset w:val="86"/>
    <w:family w:val="modern"/>
    <w:pitch w:val="default"/>
    <w:sig w:usb0="800002BF" w:usb1="38CF7CFA" w:usb2="00000016" w:usb3="00000000" w:csb0="00040001" w:csb1="00000000"/>
  </w:font>
  <w:font w:name="楷体_GB2312">
    <w:altName w:val="KaiTi"/>
    <w:panose1 w:val="02010609030101010101"/>
    <w:charset w:val="86"/>
    <w:family w:val="modern"/>
    <w:pitch w:val="default"/>
    <w:sig w:usb0="00000000" w:usb1="00000000" w:usb2="00000010" w:usb3="00000000" w:csb0="00040000" w:csb1="00000000"/>
  </w:font>
  <w:font w:name="KaiTi">
    <w:panose1 w:val="02010609060101010101"/>
    <w:charset w:val="86"/>
    <w:family w:val="modern"/>
    <w:pitch w:val="default"/>
    <w:sig w:usb0="800002BF" w:usb1="38CF7CFA" w:usb2="00000016" w:usb3="00000000" w:csb0="00040001" w:csb1="00000000"/>
  </w:font>
  <w:font w:name="Microsoft YaHei">
    <w:panose1 w:val="020B0503020204020204"/>
    <w:charset w:val="86"/>
    <w:family w:val="swiss"/>
    <w:pitch w:val="default"/>
    <w:sig w:usb0="80000287" w:usb1="280F3C52" w:usb2="00000016" w:usb3="00000000" w:csb0="0004001F" w:csb1="00000000"/>
  </w:font>
  <w:font w:name="CIDFont+F6">
    <w:altName w:val="Times New Roman"/>
    <w:panose1 w:val="00000000000000000000"/>
    <w:charset w:val="00"/>
    <w:family w:val="roman"/>
    <w:pitch w:val="default"/>
    <w:sig w:usb0="00000000" w:usb1="00000000" w:usb2="00000000" w:usb3="00000000" w:csb0="00000000" w:csb1="00000000"/>
  </w:font>
  <w:font w:name="CIDFont+F4">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27</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CD648"/>
    <w:multiLevelType w:val="singleLevel"/>
    <w:tmpl w:val="AA7CD648"/>
    <w:lvl w:ilvl="0" w:tentative="0">
      <w:start w:val="1"/>
      <w:numFmt w:val="chineseCounting"/>
      <w:suff w:val="nothing"/>
      <w:lvlText w:val="%1、"/>
      <w:lvlJc w:val="left"/>
      <w:rPr>
        <w:rFonts w:hint="eastAsia"/>
      </w:rPr>
    </w:lvl>
  </w:abstractNum>
  <w:abstractNum w:abstractNumId="1">
    <w:nsid w:val="E70230CD"/>
    <w:multiLevelType w:val="singleLevel"/>
    <w:tmpl w:val="E70230C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OTU4OWVmNWRhODU0ODZjNzg2MjNkM2ZhN2ViNDgifQ=="/>
  </w:docVars>
  <w:rsids>
    <w:rsidRoot w:val="00FB4362"/>
    <w:rsid w:val="00000C55"/>
    <w:rsid w:val="00001446"/>
    <w:rsid w:val="0001130C"/>
    <w:rsid w:val="00011F27"/>
    <w:rsid w:val="00012457"/>
    <w:rsid w:val="00021BBF"/>
    <w:rsid w:val="00030443"/>
    <w:rsid w:val="00030F4C"/>
    <w:rsid w:val="0003278A"/>
    <w:rsid w:val="000368FE"/>
    <w:rsid w:val="00042A06"/>
    <w:rsid w:val="00043601"/>
    <w:rsid w:val="000442B5"/>
    <w:rsid w:val="0004639D"/>
    <w:rsid w:val="000465E2"/>
    <w:rsid w:val="0005161F"/>
    <w:rsid w:val="00054578"/>
    <w:rsid w:val="000547D1"/>
    <w:rsid w:val="00055759"/>
    <w:rsid w:val="000612EE"/>
    <w:rsid w:val="00061BAF"/>
    <w:rsid w:val="0006337D"/>
    <w:rsid w:val="00074626"/>
    <w:rsid w:val="00076B62"/>
    <w:rsid w:val="00082093"/>
    <w:rsid w:val="000861D5"/>
    <w:rsid w:val="0009273A"/>
    <w:rsid w:val="000A20A7"/>
    <w:rsid w:val="000A655B"/>
    <w:rsid w:val="000B54DD"/>
    <w:rsid w:val="000C2055"/>
    <w:rsid w:val="000C2B7F"/>
    <w:rsid w:val="000C37BE"/>
    <w:rsid w:val="000C4C50"/>
    <w:rsid w:val="000D0130"/>
    <w:rsid w:val="000D2EEE"/>
    <w:rsid w:val="000D2F19"/>
    <w:rsid w:val="000E0CEA"/>
    <w:rsid w:val="000F3CBF"/>
    <w:rsid w:val="000F3F42"/>
    <w:rsid w:val="000F473D"/>
    <w:rsid w:val="001017F3"/>
    <w:rsid w:val="0011297B"/>
    <w:rsid w:val="00123768"/>
    <w:rsid w:val="00126B08"/>
    <w:rsid w:val="001272E5"/>
    <w:rsid w:val="00127D01"/>
    <w:rsid w:val="00130F5F"/>
    <w:rsid w:val="001374F5"/>
    <w:rsid w:val="00152FDC"/>
    <w:rsid w:val="001561FD"/>
    <w:rsid w:val="0015647B"/>
    <w:rsid w:val="00156619"/>
    <w:rsid w:val="00156C8B"/>
    <w:rsid w:val="00160A8C"/>
    <w:rsid w:val="001700B4"/>
    <w:rsid w:val="00171070"/>
    <w:rsid w:val="001A416A"/>
    <w:rsid w:val="001A6118"/>
    <w:rsid w:val="001B0364"/>
    <w:rsid w:val="001B0B8E"/>
    <w:rsid w:val="001B342F"/>
    <w:rsid w:val="001C1259"/>
    <w:rsid w:val="001D1DA7"/>
    <w:rsid w:val="001E17E4"/>
    <w:rsid w:val="001E2410"/>
    <w:rsid w:val="001E347C"/>
    <w:rsid w:val="001E6110"/>
    <w:rsid w:val="001F3C4D"/>
    <w:rsid w:val="002033EA"/>
    <w:rsid w:val="00214046"/>
    <w:rsid w:val="0022561F"/>
    <w:rsid w:val="00232DBE"/>
    <w:rsid w:val="002355E7"/>
    <w:rsid w:val="00235F73"/>
    <w:rsid w:val="0023681E"/>
    <w:rsid w:val="00241FEC"/>
    <w:rsid w:val="00243562"/>
    <w:rsid w:val="0025164A"/>
    <w:rsid w:val="00265C3D"/>
    <w:rsid w:val="00266C2E"/>
    <w:rsid w:val="00270DF8"/>
    <w:rsid w:val="002754B3"/>
    <w:rsid w:val="0028392B"/>
    <w:rsid w:val="002934F2"/>
    <w:rsid w:val="002A3A19"/>
    <w:rsid w:val="002A3ED4"/>
    <w:rsid w:val="002A7274"/>
    <w:rsid w:val="002B2833"/>
    <w:rsid w:val="002B7BA1"/>
    <w:rsid w:val="002C01BB"/>
    <w:rsid w:val="002C3FA4"/>
    <w:rsid w:val="002E2161"/>
    <w:rsid w:val="002E30F2"/>
    <w:rsid w:val="002E4E72"/>
    <w:rsid w:val="002F0CE0"/>
    <w:rsid w:val="002F4ED9"/>
    <w:rsid w:val="002F75FE"/>
    <w:rsid w:val="002F7FA5"/>
    <w:rsid w:val="003017F4"/>
    <w:rsid w:val="00301AAB"/>
    <w:rsid w:val="00306B68"/>
    <w:rsid w:val="003129FE"/>
    <w:rsid w:val="003322AC"/>
    <w:rsid w:val="00335342"/>
    <w:rsid w:val="00343A8E"/>
    <w:rsid w:val="00345713"/>
    <w:rsid w:val="003566B9"/>
    <w:rsid w:val="00356C98"/>
    <w:rsid w:val="0036367B"/>
    <w:rsid w:val="0036496C"/>
    <w:rsid w:val="00365414"/>
    <w:rsid w:val="00372734"/>
    <w:rsid w:val="00372A33"/>
    <w:rsid w:val="0037374A"/>
    <w:rsid w:val="00377A88"/>
    <w:rsid w:val="00392E2B"/>
    <w:rsid w:val="003A396F"/>
    <w:rsid w:val="003A68FD"/>
    <w:rsid w:val="003A7A18"/>
    <w:rsid w:val="003B3187"/>
    <w:rsid w:val="003B327A"/>
    <w:rsid w:val="003B4612"/>
    <w:rsid w:val="003B76D2"/>
    <w:rsid w:val="003D6D41"/>
    <w:rsid w:val="003E3B0A"/>
    <w:rsid w:val="0040581D"/>
    <w:rsid w:val="00417BF3"/>
    <w:rsid w:val="00425D21"/>
    <w:rsid w:val="00426463"/>
    <w:rsid w:val="00427875"/>
    <w:rsid w:val="004317A0"/>
    <w:rsid w:val="0043556D"/>
    <w:rsid w:val="0043739B"/>
    <w:rsid w:val="00441579"/>
    <w:rsid w:val="004418B5"/>
    <w:rsid w:val="00445789"/>
    <w:rsid w:val="00463FB8"/>
    <w:rsid w:val="00480A2F"/>
    <w:rsid w:val="00480B47"/>
    <w:rsid w:val="00481F19"/>
    <w:rsid w:val="00487BC0"/>
    <w:rsid w:val="00490FF8"/>
    <w:rsid w:val="004A1851"/>
    <w:rsid w:val="004B337A"/>
    <w:rsid w:val="004B5538"/>
    <w:rsid w:val="004C3127"/>
    <w:rsid w:val="004D27C3"/>
    <w:rsid w:val="004D44D2"/>
    <w:rsid w:val="004D491E"/>
    <w:rsid w:val="004E3E51"/>
    <w:rsid w:val="004E625A"/>
    <w:rsid w:val="004F73BD"/>
    <w:rsid w:val="00502474"/>
    <w:rsid w:val="00515110"/>
    <w:rsid w:val="00523062"/>
    <w:rsid w:val="00532434"/>
    <w:rsid w:val="00537019"/>
    <w:rsid w:val="0054271B"/>
    <w:rsid w:val="00545281"/>
    <w:rsid w:val="00551A39"/>
    <w:rsid w:val="00566585"/>
    <w:rsid w:val="00580A2F"/>
    <w:rsid w:val="005A2CB7"/>
    <w:rsid w:val="005B15C7"/>
    <w:rsid w:val="005B51EA"/>
    <w:rsid w:val="005C6B92"/>
    <w:rsid w:val="005F4CC9"/>
    <w:rsid w:val="0060056E"/>
    <w:rsid w:val="006039C9"/>
    <w:rsid w:val="00605602"/>
    <w:rsid w:val="00605D22"/>
    <w:rsid w:val="00620A03"/>
    <w:rsid w:val="00621126"/>
    <w:rsid w:val="0062145A"/>
    <w:rsid w:val="00633C60"/>
    <w:rsid w:val="00645C9F"/>
    <w:rsid w:val="00650775"/>
    <w:rsid w:val="0065388D"/>
    <w:rsid w:val="00655506"/>
    <w:rsid w:val="00674396"/>
    <w:rsid w:val="006849AD"/>
    <w:rsid w:val="006853A7"/>
    <w:rsid w:val="0069507F"/>
    <w:rsid w:val="006955DD"/>
    <w:rsid w:val="00697A98"/>
    <w:rsid w:val="006A0492"/>
    <w:rsid w:val="006A3DED"/>
    <w:rsid w:val="006A6E23"/>
    <w:rsid w:val="006B05FF"/>
    <w:rsid w:val="006C4D2E"/>
    <w:rsid w:val="006D3D60"/>
    <w:rsid w:val="006E1F9C"/>
    <w:rsid w:val="006E4A2C"/>
    <w:rsid w:val="006E721A"/>
    <w:rsid w:val="006F0E11"/>
    <w:rsid w:val="006F40C8"/>
    <w:rsid w:val="00700872"/>
    <w:rsid w:val="00706BB4"/>
    <w:rsid w:val="00714029"/>
    <w:rsid w:val="007203B6"/>
    <w:rsid w:val="007222C1"/>
    <w:rsid w:val="00725205"/>
    <w:rsid w:val="0074091B"/>
    <w:rsid w:val="00740927"/>
    <w:rsid w:val="00744302"/>
    <w:rsid w:val="00747C60"/>
    <w:rsid w:val="007732EA"/>
    <w:rsid w:val="00777EA3"/>
    <w:rsid w:val="007933F9"/>
    <w:rsid w:val="00793C7B"/>
    <w:rsid w:val="007954B6"/>
    <w:rsid w:val="007A5E22"/>
    <w:rsid w:val="007B3768"/>
    <w:rsid w:val="007B5395"/>
    <w:rsid w:val="007C38FB"/>
    <w:rsid w:val="007C6434"/>
    <w:rsid w:val="007D4E4C"/>
    <w:rsid w:val="007D5F13"/>
    <w:rsid w:val="007D69F8"/>
    <w:rsid w:val="007E4819"/>
    <w:rsid w:val="007E4E03"/>
    <w:rsid w:val="007E7289"/>
    <w:rsid w:val="00805F3F"/>
    <w:rsid w:val="00817A5D"/>
    <w:rsid w:val="00821209"/>
    <w:rsid w:val="00821491"/>
    <w:rsid w:val="00831411"/>
    <w:rsid w:val="00842536"/>
    <w:rsid w:val="00843692"/>
    <w:rsid w:val="0085135B"/>
    <w:rsid w:val="0085287C"/>
    <w:rsid w:val="008559B6"/>
    <w:rsid w:val="008559FD"/>
    <w:rsid w:val="00855E65"/>
    <w:rsid w:val="0085612E"/>
    <w:rsid w:val="00880868"/>
    <w:rsid w:val="00880D30"/>
    <w:rsid w:val="008811AD"/>
    <w:rsid w:val="008812FA"/>
    <w:rsid w:val="008B222B"/>
    <w:rsid w:val="008C138F"/>
    <w:rsid w:val="008C204C"/>
    <w:rsid w:val="008C2625"/>
    <w:rsid w:val="008C4FE2"/>
    <w:rsid w:val="008D4D6A"/>
    <w:rsid w:val="008F7014"/>
    <w:rsid w:val="009049E9"/>
    <w:rsid w:val="00907F9B"/>
    <w:rsid w:val="00911503"/>
    <w:rsid w:val="00917C2D"/>
    <w:rsid w:val="009209B6"/>
    <w:rsid w:val="00923CB4"/>
    <w:rsid w:val="009335E0"/>
    <w:rsid w:val="00941732"/>
    <w:rsid w:val="009510F3"/>
    <w:rsid w:val="00954018"/>
    <w:rsid w:val="00955590"/>
    <w:rsid w:val="00970435"/>
    <w:rsid w:val="009704EC"/>
    <w:rsid w:val="00971619"/>
    <w:rsid w:val="00982EAB"/>
    <w:rsid w:val="0098505E"/>
    <w:rsid w:val="00991480"/>
    <w:rsid w:val="009945A7"/>
    <w:rsid w:val="00995E63"/>
    <w:rsid w:val="0099643D"/>
    <w:rsid w:val="009969DC"/>
    <w:rsid w:val="00996BA5"/>
    <w:rsid w:val="009A0F79"/>
    <w:rsid w:val="009A3C75"/>
    <w:rsid w:val="009B03F2"/>
    <w:rsid w:val="009C4EE2"/>
    <w:rsid w:val="009D46B1"/>
    <w:rsid w:val="009E7F6E"/>
    <w:rsid w:val="009F2B6A"/>
    <w:rsid w:val="009F5541"/>
    <w:rsid w:val="00A01204"/>
    <w:rsid w:val="00A022BA"/>
    <w:rsid w:val="00A256AC"/>
    <w:rsid w:val="00A32BE3"/>
    <w:rsid w:val="00A4207A"/>
    <w:rsid w:val="00A5653E"/>
    <w:rsid w:val="00A63533"/>
    <w:rsid w:val="00A723C4"/>
    <w:rsid w:val="00A72D2B"/>
    <w:rsid w:val="00A820E9"/>
    <w:rsid w:val="00A82942"/>
    <w:rsid w:val="00A83E24"/>
    <w:rsid w:val="00AA20F8"/>
    <w:rsid w:val="00AA327B"/>
    <w:rsid w:val="00AA55AF"/>
    <w:rsid w:val="00AB19A5"/>
    <w:rsid w:val="00AC2FD6"/>
    <w:rsid w:val="00AC78FC"/>
    <w:rsid w:val="00AD4CFE"/>
    <w:rsid w:val="00AE79BA"/>
    <w:rsid w:val="00AF350E"/>
    <w:rsid w:val="00AF3D8F"/>
    <w:rsid w:val="00AF5273"/>
    <w:rsid w:val="00AF5D3D"/>
    <w:rsid w:val="00B0671C"/>
    <w:rsid w:val="00B13495"/>
    <w:rsid w:val="00B262DD"/>
    <w:rsid w:val="00B278DE"/>
    <w:rsid w:val="00B30287"/>
    <w:rsid w:val="00B30EBD"/>
    <w:rsid w:val="00B351C3"/>
    <w:rsid w:val="00B36AC9"/>
    <w:rsid w:val="00B36E7A"/>
    <w:rsid w:val="00B542CD"/>
    <w:rsid w:val="00B6465B"/>
    <w:rsid w:val="00B772D7"/>
    <w:rsid w:val="00B85451"/>
    <w:rsid w:val="00B86006"/>
    <w:rsid w:val="00B86D86"/>
    <w:rsid w:val="00BA2A96"/>
    <w:rsid w:val="00BA5FE5"/>
    <w:rsid w:val="00BC1FD9"/>
    <w:rsid w:val="00BC30FF"/>
    <w:rsid w:val="00BC500D"/>
    <w:rsid w:val="00BD7FD7"/>
    <w:rsid w:val="00BF1606"/>
    <w:rsid w:val="00BF1647"/>
    <w:rsid w:val="00BF5A25"/>
    <w:rsid w:val="00C06428"/>
    <w:rsid w:val="00C11347"/>
    <w:rsid w:val="00C35018"/>
    <w:rsid w:val="00C40A34"/>
    <w:rsid w:val="00C4484E"/>
    <w:rsid w:val="00C46F7C"/>
    <w:rsid w:val="00C519B5"/>
    <w:rsid w:val="00C55EDB"/>
    <w:rsid w:val="00C573E9"/>
    <w:rsid w:val="00C729DA"/>
    <w:rsid w:val="00C764B7"/>
    <w:rsid w:val="00C90B56"/>
    <w:rsid w:val="00CA3F25"/>
    <w:rsid w:val="00CB5B9D"/>
    <w:rsid w:val="00CB6428"/>
    <w:rsid w:val="00CC01A5"/>
    <w:rsid w:val="00CC2134"/>
    <w:rsid w:val="00CD255A"/>
    <w:rsid w:val="00D126EC"/>
    <w:rsid w:val="00D14955"/>
    <w:rsid w:val="00D24CD6"/>
    <w:rsid w:val="00D24FA6"/>
    <w:rsid w:val="00D544D2"/>
    <w:rsid w:val="00D660F8"/>
    <w:rsid w:val="00D744C5"/>
    <w:rsid w:val="00D827AF"/>
    <w:rsid w:val="00D8451F"/>
    <w:rsid w:val="00D8474D"/>
    <w:rsid w:val="00D84D5B"/>
    <w:rsid w:val="00D86771"/>
    <w:rsid w:val="00D90C73"/>
    <w:rsid w:val="00D90F17"/>
    <w:rsid w:val="00D9480E"/>
    <w:rsid w:val="00D94FFD"/>
    <w:rsid w:val="00DA7038"/>
    <w:rsid w:val="00DB4AF2"/>
    <w:rsid w:val="00DB572A"/>
    <w:rsid w:val="00DC14B3"/>
    <w:rsid w:val="00DC399C"/>
    <w:rsid w:val="00DC7D6D"/>
    <w:rsid w:val="00DD2999"/>
    <w:rsid w:val="00DD2B43"/>
    <w:rsid w:val="00DD2CF8"/>
    <w:rsid w:val="00DD5C58"/>
    <w:rsid w:val="00DE240B"/>
    <w:rsid w:val="00DE529C"/>
    <w:rsid w:val="00DE6D9E"/>
    <w:rsid w:val="00DF3482"/>
    <w:rsid w:val="00DF450F"/>
    <w:rsid w:val="00E04A58"/>
    <w:rsid w:val="00E07425"/>
    <w:rsid w:val="00E07A05"/>
    <w:rsid w:val="00E16025"/>
    <w:rsid w:val="00E167FD"/>
    <w:rsid w:val="00E16F50"/>
    <w:rsid w:val="00E24179"/>
    <w:rsid w:val="00E31783"/>
    <w:rsid w:val="00E36636"/>
    <w:rsid w:val="00E43A34"/>
    <w:rsid w:val="00E44D37"/>
    <w:rsid w:val="00E52850"/>
    <w:rsid w:val="00E609A5"/>
    <w:rsid w:val="00E61928"/>
    <w:rsid w:val="00E656D2"/>
    <w:rsid w:val="00E7276C"/>
    <w:rsid w:val="00E84382"/>
    <w:rsid w:val="00E9180B"/>
    <w:rsid w:val="00EA0646"/>
    <w:rsid w:val="00EA2BA4"/>
    <w:rsid w:val="00EA3103"/>
    <w:rsid w:val="00EB15C1"/>
    <w:rsid w:val="00EC325A"/>
    <w:rsid w:val="00EC3A8E"/>
    <w:rsid w:val="00EC57F0"/>
    <w:rsid w:val="00ED68AF"/>
    <w:rsid w:val="00EF2E7C"/>
    <w:rsid w:val="00F01A6E"/>
    <w:rsid w:val="00F11811"/>
    <w:rsid w:val="00F20178"/>
    <w:rsid w:val="00F23C6C"/>
    <w:rsid w:val="00F24BC8"/>
    <w:rsid w:val="00F25045"/>
    <w:rsid w:val="00F30F3E"/>
    <w:rsid w:val="00F32002"/>
    <w:rsid w:val="00F4605D"/>
    <w:rsid w:val="00F51EF5"/>
    <w:rsid w:val="00F74928"/>
    <w:rsid w:val="00F8197E"/>
    <w:rsid w:val="00F833B1"/>
    <w:rsid w:val="00F87D90"/>
    <w:rsid w:val="00F90495"/>
    <w:rsid w:val="00FA4179"/>
    <w:rsid w:val="00FB4362"/>
    <w:rsid w:val="00FB53A1"/>
    <w:rsid w:val="00FD30CF"/>
    <w:rsid w:val="00FE0E46"/>
    <w:rsid w:val="00FF0AEC"/>
    <w:rsid w:val="00FF1DF4"/>
    <w:rsid w:val="00FF4165"/>
    <w:rsid w:val="0F1B1CC7"/>
    <w:rsid w:val="113741D2"/>
    <w:rsid w:val="18185AA7"/>
    <w:rsid w:val="1CDB668C"/>
    <w:rsid w:val="1D34261E"/>
    <w:rsid w:val="1E797ACA"/>
    <w:rsid w:val="45EA3CA8"/>
    <w:rsid w:val="527E074E"/>
    <w:rsid w:val="579503FF"/>
    <w:rsid w:val="58E7301B"/>
    <w:rsid w:val="60535296"/>
    <w:rsid w:val="605D7F00"/>
    <w:rsid w:val="6C671D12"/>
    <w:rsid w:val="71685D86"/>
    <w:rsid w:val="72FD2525"/>
    <w:rsid w:val="75F6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qFormat/>
    <w:uiPriority w:val="0"/>
    <w:pPr>
      <w:jc w:val="left"/>
    </w:pPr>
  </w:style>
  <w:style w:type="paragraph" w:styleId="4">
    <w:name w:val="Balloon Text"/>
    <w:basedOn w:val="1"/>
    <w:link w:val="15"/>
    <w:autoRedefine/>
    <w:qFormat/>
    <w:uiPriority w:val="0"/>
    <w:rPr>
      <w:sz w:val="18"/>
      <w:szCs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autoRedefine/>
    <w:qFormat/>
    <w:uiPriority w:val="0"/>
    <w:rPr>
      <w:b/>
      <w:bCs/>
    </w:rPr>
  </w:style>
  <w:style w:type="character" w:styleId="10">
    <w:name w:val="line number"/>
    <w:autoRedefine/>
    <w:qFormat/>
    <w:uiPriority w:val="0"/>
  </w:style>
  <w:style w:type="character" w:styleId="11">
    <w:name w:val="annotation reference"/>
    <w:autoRedefine/>
    <w:qFormat/>
    <w:uiPriority w:val="0"/>
    <w:rPr>
      <w:sz w:val="21"/>
      <w:szCs w:val="21"/>
    </w:rPr>
  </w:style>
  <w:style w:type="character" w:customStyle="1" w:styleId="12">
    <w:name w:val="页脚 Char"/>
    <w:link w:val="5"/>
    <w:autoRedefine/>
    <w:qFormat/>
    <w:uiPriority w:val="0"/>
    <w:rPr>
      <w:sz w:val="18"/>
      <w:szCs w:val="18"/>
    </w:rPr>
  </w:style>
  <w:style w:type="character" w:customStyle="1" w:styleId="13">
    <w:name w:val="页眉 Char"/>
    <w:link w:val="6"/>
    <w:autoRedefine/>
    <w:qFormat/>
    <w:uiPriority w:val="0"/>
    <w:rPr>
      <w:sz w:val="18"/>
      <w:szCs w:val="18"/>
    </w:rPr>
  </w:style>
  <w:style w:type="paragraph" w:styleId="14">
    <w:name w:val="List Paragraph"/>
    <w:basedOn w:val="1"/>
    <w:autoRedefine/>
    <w:qFormat/>
    <w:uiPriority w:val="0"/>
    <w:pPr>
      <w:ind w:firstLine="420" w:firstLineChars="200"/>
    </w:pPr>
  </w:style>
  <w:style w:type="character" w:customStyle="1" w:styleId="15">
    <w:name w:val="批注框文本 Char"/>
    <w:link w:val="4"/>
    <w:autoRedefine/>
    <w:uiPriority w:val="0"/>
    <w:rPr>
      <w:kern w:val="2"/>
      <w:sz w:val="18"/>
      <w:szCs w:val="18"/>
    </w:rPr>
  </w:style>
  <w:style w:type="character" w:customStyle="1" w:styleId="16">
    <w:name w:val="标题 1 Char"/>
    <w:link w:val="2"/>
    <w:autoRedefine/>
    <w:qFormat/>
    <w:uiPriority w:val="0"/>
    <w:rPr>
      <w:rFonts w:ascii="Times New Roman" w:hAnsi="Times New Roman"/>
      <w:b/>
      <w:bCs/>
      <w:kern w:val="44"/>
      <w:sz w:val="44"/>
      <w:szCs w:val="44"/>
    </w:rPr>
  </w:style>
  <w:style w:type="paragraph" w:customStyle="1" w:styleId="17">
    <w:name w:val="TOC Heading"/>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8">
    <w:name w:val="批注文字 Char"/>
    <w:link w:val="3"/>
    <w:autoRedefine/>
    <w:qFormat/>
    <w:uiPriority w:val="0"/>
    <w:rPr>
      <w:kern w:val="2"/>
      <w:sz w:val="21"/>
      <w:szCs w:val="22"/>
    </w:rPr>
  </w:style>
  <w:style w:type="character" w:customStyle="1" w:styleId="19">
    <w:name w:val="批注主题 Char"/>
    <w:link w:val="7"/>
    <w:qFormat/>
    <w:uiPriority w:val="0"/>
    <w:rPr>
      <w:b/>
      <w:bCs/>
      <w:kern w:val="2"/>
      <w:sz w:val="21"/>
      <w:szCs w:val="22"/>
    </w:rPr>
  </w:style>
  <w:style w:type="character" w:customStyle="1" w:styleId="20">
    <w:name w:val="fontstyle01"/>
    <w:autoRedefine/>
    <w:qFormat/>
    <w:uiPriority w:val="0"/>
    <w:rPr>
      <w:rFonts w:hint="eastAsia" w:ascii="仿宋_GB2312" w:eastAsia="仿宋_GB2312"/>
      <w:color w:val="000000"/>
      <w:sz w:val="32"/>
      <w:szCs w:val="32"/>
    </w:rPr>
  </w:style>
  <w:style w:type="character" w:customStyle="1" w:styleId="21">
    <w:name w:val="fontstyle21"/>
    <w:autoRedefine/>
    <w:qFormat/>
    <w:uiPriority w:val="0"/>
    <w:rPr>
      <w:rFonts w:hint="default" w:ascii="TimesNewRomanPSMT" w:hAnsi="TimesNewRomanPSMT"/>
      <w:color w:val="000000"/>
      <w:sz w:val="32"/>
      <w:szCs w:val="32"/>
    </w:rPr>
  </w:style>
  <w:style w:type="character" w:customStyle="1" w:styleId="22">
    <w:name w:val="fontstyle11"/>
    <w:autoRedefine/>
    <w:qFormat/>
    <w:uiPriority w:val="0"/>
    <w:rPr>
      <w:rFonts w:hint="eastAsia" w:ascii="仿宋_GB2312" w:eastAsia="仿宋_GB2312"/>
      <w:color w:val="000000"/>
      <w:sz w:val="32"/>
      <w:szCs w:val="32"/>
    </w:rPr>
  </w:style>
  <w:style w:type="character" w:customStyle="1" w:styleId="23">
    <w:name w:val="fontstyle31"/>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beijing</Company>
  <Pages>11</Pages>
  <Words>1440</Words>
  <Characters>8209</Characters>
  <Lines>68</Lines>
  <Paragraphs>19</Paragraphs>
  <TotalTime>22</TotalTime>
  <ScaleCrop>false</ScaleCrop>
  <LinksUpToDate>false</LinksUpToDate>
  <CharactersWithSpaces>9630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2024-01-30T09:03:00Z</dcterms:created>
  <dc:creator>home</dc:creator>
  <cp:lastModifiedBy>Xiang xiang</cp:lastModifiedBy>
  <cp:lastPrinted>2022-02-15T07:45:00Z</cp:lastPrinted>
  <dcterms:modified xsi:type="dcterms:W3CDTF">2024-05-11T03:37:59Z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F7BB56FDF5EC4289B566D68B69C98DB4_13</vt:lpwstr>
  </property>
</Properties>
</file>