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87A63">
      <w:pPr>
        <w:spacing w:before="100" w:beforeLines="0" w:after="100" w:afterLines="0"/>
        <w:jc w:val="center"/>
        <w:rPr>
          <w:rFonts w:hint="eastAsia" w:ascii="宋体" w:hAnsi="宋体"/>
          <w:sz w:val="24"/>
          <w:szCs w:val="24"/>
          <w:lang w:val="zh-CN"/>
        </w:rPr>
      </w:pPr>
    </w:p>
    <w:p w14:paraId="31CB3CCE">
      <w:pPr>
        <w:spacing w:before="100" w:beforeLines="0" w:after="100" w:afterLines="0"/>
        <w:jc w:val="center"/>
        <w:rPr>
          <w:rFonts w:hint="eastAsia" w:ascii="宋体" w:hAnsi="宋体"/>
          <w:sz w:val="24"/>
          <w:szCs w:val="24"/>
          <w:lang w:val="zh-CN"/>
        </w:rPr>
      </w:pPr>
    </w:p>
    <w:p w14:paraId="65ECE24B">
      <w:pPr>
        <w:spacing w:before="100" w:beforeLines="0" w:after="100" w:afterLines="0"/>
        <w:jc w:val="center"/>
        <w:rPr>
          <w:rFonts w:hint="eastAsia" w:ascii="宋体" w:hAnsi="宋体"/>
          <w:sz w:val="24"/>
          <w:szCs w:val="24"/>
          <w:lang w:val="zh-CN"/>
        </w:rPr>
      </w:pPr>
    </w:p>
    <w:p w14:paraId="17FC284F">
      <w:pPr>
        <w:spacing w:before="100" w:beforeLines="0" w:after="100" w:afterLines="0"/>
        <w:jc w:val="center"/>
        <w:rPr>
          <w:rFonts w:hint="eastAsia" w:ascii="宋体" w:hAnsi="宋体"/>
          <w:sz w:val="24"/>
          <w:szCs w:val="24"/>
          <w:lang w:val="zh-CN"/>
        </w:rPr>
      </w:pPr>
    </w:p>
    <w:p w14:paraId="007BAC70">
      <w:pPr>
        <w:spacing w:before="100" w:beforeLines="0" w:after="100" w:afterLines="0"/>
        <w:jc w:val="center"/>
        <w:rPr>
          <w:rFonts w:hint="eastAsia" w:ascii="宋体" w:hAnsi="宋体"/>
          <w:sz w:val="24"/>
          <w:szCs w:val="24"/>
          <w:lang w:val="zh-CN"/>
        </w:rPr>
      </w:pPr>
    </w:p>
    <w:p w14:paraId="611078F9">
      <w:pPr>
        <w:spacing w:before="100" w:beforeLines="0" w:after="100" w:afterLines="0"/>
        <w:jc w:val="center"/>
        <w:rPr>
          <w:rFonts w:hint="eastAsia" w:ascii="宋体" w:hAnsi="宋体"/>
          <w:sz w:val="24"/>
          <w:szCs w:val="24"/>
          <w:lang w:val="zh-CN"/>
        </w:rPr>
      </w:pPr>
    </w:p>
    <w:p w14:paraId="01B56CED">
      <w:pPr>
        <w:spacing w:before="100" w:beforeLines="0" w:after="100" w:afterLines="0"/>
        <w:jc w:val="center"/>
        <w:rPr>
          <w:rFonts w:hint="eastAsia" w:ascii="宋体" w:hAnsi="宋体"/>
          <w:sz w:val="24"/>
          <w:szCs w:val="24"/>
          <w:lang w:val="zh-CN"/>
        </w:rPr>
      </w:pPr>
    </w:p>
    <w:p w14:paraId="66800BE8">
      <w:pPr>
        <w:spacing w:before="100" w:beforeLines="0" w:after="100" w:afterLines="0"/>
        <w:jc w:val="center"/>
        <w:rPr>
          <w:rFonts w:hint="eastAsia" w:ascii="宋体" w:hAnsi="宋体"/>
          <w:sz w:val="24"/>
          <w:szCs w:val="24"/>
          <w:lang w:val="zh-CN"/>
        </w:rPr>
      </w:pPr>
    </w:p>
    <w:p w14:paraId="3F9DFB68">
      <w:pPr>
        <w:spacing w:before="100" w:beforeLines="0" w:after="100" w:afterLines="0"/>
        <w:jc w:val="center"/>
        <w:rPr>
          <w:rFonts w:hint="eastAsia" w:ascii="宋体" w:hAnsi="宋体"/>
          <w:sz w:val="24"/>
          <w:szCs w:val="24"/>
          <w:lang w:val="zh-CN"/>
        </w:rPr>
      </w:pPr>
    </w:p>
    <w:p w14:paraId="48E288DD">
      <w:pPr>
        <w:spacing w:before="100" w:beforeLines="0" w:after="100" w:afterLines="0"/>
        <w:jc w:val="center"/>
        <w:rPr>
          <w:rFonts w:hint="eastAsia" w:ascii="宋体" w:hAnsi="宋体"/>
          <w:sz w:val="24"/>
          <w:szCs w:val="24"/>
          <w:lang w:val="zh-CN"/>
        </w:rPr>
      </w:pPr>
    </w:p>
    <w:p w14:paraId="2D939CCE">
      <w:pPr>
        <w:spacing w:before="100" w:beforeLines="0" w:after="100" w:afterLines="0"/>
        <w:jc w:val="center"/>
        <w:rPr>
          <w:rFonts w:hint="eastAsia" w:ascii="宋体" w:hAnsi="宋体"/>
          <w:sz w:val="24"/>
          <w:szCs w:val="24"/>
          <w:lang w:val="zh-CN"/>
        </w:rPr>
      </w:pPr>
    </w:p>
    <w:p w14:paraId="335BA0EE">
      <w:pPr>
        <w:spacing w:before="100" w:beforeLines="0" w:after="100" w:afterLines="0"/>
        <w:jc w:val="center"/>
        <w:rPr>
          <w:rFonts w:hint="eastAsia" w:ascii="宋体" w:hAnsi="宋体"/>
          <w:sz w:val="24"/>
          <w:szCs w:val="24"/>
          <w:lang w:val="zh-CN"/>
        </w:rPr>
      </w:pPr>
    </w:p>
    <w:p w14:paraId="413BEDCB">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5401B305">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甘肃省东乡族自治县财政局（汇总）部门决算</w:t>
      </w:r>
    </w:p>
    <w:p w14:paraId="56176770">
      <w:pPr>
        <w:spacing w:before="100" w:beforeLines="0" w:after="100" w:afterLines="0"/>
        <w:jc w:val="center"/>
        <w:rPr>
          <w:rFonts w:hint="eastAsia" w:ascii="宋体" w:hAnsi="宋体"/>
          <w:sz w:val="24"/>
          <w:szCs w:val="24"/>
          <w:lang w:val="zh-CN"/>
        </w:rPr>
      </w:pPr>
    </w:p>
    <w:p w14:paraId="7564EB8B">
      <w:pPr>
        <w:spacing w:before="100" w:beforeLines="0" w:after="100" w:afterLines="0"/>
        <w:jc w:val="center"/>
        <w:rPr>
          <w:rFonts w:hint="eastAsia" w:ascii="宋体" w:hAnsi="宋体"/>
          <w:sz w:val="24"/>
          <w:szCs w:val="24"/>
          <w:lang w:val="zh-CN"/>
        </w:rPr>
      </w:pPr>
    </w:p>
    <w:p w14:paraId="6FC61893">
      <w:pPr>
        <w:spacing w:before="100" w:beforeLines="0" w:after="100" w:afterLines="0"/>
        <w:jc w:val="center"/>
        <w:rPr>
          <w:rFonts w:hint="eastAsia" w:ascii="宋体" w:hAnsi="宋体"/>
          <w:sz w:val="24"/>
          <w:szCs w:val="24"/>
          <w:lang w:val="zh-CN"/>
        </w:rPr>
      </w:pPr>
    </w:p>
    <w:p w14:paraId="6C08BB52">
      <w:pPr>
        <w:spacing w:before="100" w:beforeLines="0" w:after="100" w:afterLines="0"/>
        <w:jc w:val="center"/>
        <w:rPr>
          <w:rFonts w:hint="eastAsia" w:ascii="宋体" w:hAnsi="宋体"/>
          <w:sz w:val="24"/>
          <w:szCs w:val="24"/>
          <w:lang w:val="zh-CN"/>
        </w:rPr>
      </w:pPr>
    </w:p>
    <w:p w14:paraId="4928AB27">
      <w:pPr>
        <w:spacing w:before="100" w:beforeLines="0" w:after="100" w:afterLines="0"/>
        <w:jc w:val="center"/>
        <w:rPr>
          <w:rFonts w:hint="eastAsia" w:ascii="宋体" w:hAnsi="宋体"/>
          <w:sz w:val="24"/>
          <w:szCs w:val="24"/>
          <w:lang w:val="zh-CN"/>
        </w:rPr>
      </w:pPr>
    </w:p>
    <w:p w14:paraId="0B258FCD">
      <w:pPr>
        <w:spacing w:before="100" w:beforeLines="0" w:after="100" w:afterLines="0"/>
        <w:jc w:val="center"/>
        <w:rPr>
          <w:rFonts w:hint="eastAsia" w:ascii="宋体" w:hAnsi="宋体"/>
          <w:sz w:val="24"/>
          <w:szCs w:val="24"/>
          <w:lang w:val="zh-CN"/>
        </w:rPr>
      </w:pPr>
    </w:p>
    <w:p w14:paraId="054BEC18">
      <w:pPr>
        <w:spacing w:before="100" w:beforeLines="0" w:after="100" w:afterLines="0"/>
        <w:jc w:val="center"/>
        <w:rPr>
          <w:rFonts w:hint="eastAsia" w:ascii="宋体" w:hAnsi="宋体"/>
          <w:sz w:val="24"/>
          <w:szCs w:val="24"/>
          <w:lang w:val="zh-CN"/>
        </w:rPr>
      </w:pPr>
    </w:p>
    <w:p w14:paraId="07BF113E">
      <w:pPr>
        <w:spacing w:before="100" w:beforeLines="0" w:after="100" w:afterLines="0"/>
        <w:jc w:val="center"/>
        <w:rPr>
          <w:rFonts w:hint="eastAsia" w:ascii="宋体" w:hAnsi="宋体"/>
          <w:sz w:val="24"/>
          <w:szCs w:val="24"/>
          <w:lang w:val="zh-CN"/>
        </w:rPr>
      </w:pPr>
    </w:p>
    <w:p w14:paraId="34C94461">
      <w:pPr>
        <w:spacing w:before="100" w:beforeLines="0" w:after="100" w:afterLines="0"/>
        <w:jc w:val="center"/>
        <w:rPr>
          <w:rFonts w:hint="eastAsia" w:ascii="宋体" w:hAnsi="宋体"/>
          <w:sz w:val="24"/>
          <w:szCs w:val="24"/>
          <w:lang w:val="zh-CN"/>
        </w:rPr>
      </w:pPr>
    </w:p>
    <w:p w14:paraId="4CFBCE60">
      <w:pPr>
        <w:spacing w:before="100" w:beforeLines="0" w:after="100" w:afterLines="0"/>
        <w:jc w:val="center"/>
        <w:rPr>
          <w:rFonts w:hint="eastAsia" w:ascii="宋体" w:hAnsi="宋体"/>
          <w:sz w:val="24"/>
          <w:szCs w:val="24"/>
          <w:lang w:val="zh-CN"/>
        </w:rPr>
      </w:pPr>
    </w:p>
    <w:p w14:paraId="2AD823BE">
      <w:pPr>
        <w:spacing w:before="100" w:beforeLines="0" w:after="100" w:afterLines="0"/>
        <w:jc w:val="center"/>
        <w:rPr>
          <w:rFonts w:hint="eastAsia" w:ascii="宋体" w:hAnsi="宋体"/>
          <w:sz w:val="24"/>
          <w:szCs w:val="24"/>
          <w:lang w:val="zh-CN"/>
        </w:rPr>
      </w:pPr>
    </w:p>
    <w:p w14:paraId="28A26948">
      <w:pPr>
        <w:spacing w:before="100" w:beforeLines="0" w:after="100" w:afterLines="0"/>
        <w:jc w:val="center"/>
        <w:rPr>
          <w:rFonts w:hint="eastAsia" w:ascii="宋体" w:hAnsi="宋体"/>
          <w:sz w:val="24"/>
          <w:szCs w:val="24"/>
          <w:lang w:val="zh-CN"/>
        </w:rPr>
      </w:pPr>
    </w:p>
    <w:p w14:paraId="201E5940">
      <w:pPr>
        <w:spacing w:before="100" w:beforeLines="0" w:after="100" w:afterLines="0"/>
        <w:jc w:val="center"/>
        <w:rPr>
          <w:rFonts w:hint="eastAsia" w:ascii="宋体" w:hAnsi="宋体"/>
          <w:sz w:val="24"/>
          <w:szCs w:val="24"/>
          <w:lang w:val="zh-CN"/>
        </w:rPr>
      </w:pPr>
    </w:p>
    <w:p w14:paraId="609268BD">
      <w:pPr>
        <w:spacing w:before="100" w:beforeLines="0" w:after="100" w:afterLines="0"/>
        <w:jc w:val="center"/>
        <w:rPr>
          <w:rFonts w:hint="eastAsia" w:ascii="宋体" w:hAnsi="宋体"/>
          <w:sz w:val="24"/>
          <w:szCs w:val="24"/>
          <w:lang w:val="zh-CN"/>
        </w:rPr>
      </w:pPr>
    </w:p>
    <w:p w14:paraId="074BC3B3">
      <w:pPr>
        <w:spacing w:before="100" w:beforeLines="0" w:after="100" w:afterLines="0"/>
        <w:jc w:val="center"/>
        <w:rPr>
          <w:rFonts w:hint="eastAsia" w:ascii="宋体" w:hAnsi="宋体"/>
          <w:sz w:val="24"/>
          <w:szCs w:val="24"/>
          <w:lang w:val="zh-CN"/>
        </w:rPr>
      </w:pPr>
    </w:p>
    <w:p w14:paraId="6DED0034">
      <w:pPr>
        <w:spacing w:before="100" w:beforeLines="0" w:after="100" w:afterLines="0"/>
        <w:jc w:val="center"/>
        <w:rPr>
          <w:rFonts w:hint="eastAsia" w:ascii="宋体" w:hAnsi="宋体"/>
          <w:sz w:val="24"/>
          <w:szCs w:val="24"/>
          <w:lang w:val="zh-CN"/>
        </w:rPr>
      </w:pPr>
    </w:p>
    <w:p w14:paraId="43DA5BC7">
      <w:pPr>
        <w:spacing w:before="100" w:beforeLines="0" w:after="100" w:afterLines="0"/>
        <w:jc w:val="center"/>
        <w:rPr>
          <w:rFonts w:hint="eastAsia" w:ascii="宋体" w:hAnsi="宋体"/>
          <w:sz w:val="24"/>
          <w:szCs w:val="24"/>
          <w:lang w:val="zh-CN"/>
        </w:rPr>
      </w:pPr>
    </w:p>
    <w:p w14:paraId="2AAFEC36">
      <w:pPr>
        <w:spacing w:before="100" w:beforeLines="0" w:after="100" w:afterLines="0"/>
        <w:jc w:val="center"/>
        <w:rPr>
          <w:rFonts w:hint="eastAsia" w:ascii="宋体" w:hAnsi="宋体"/>
          <w:sz w:val="24"/>
          <w:szCs w:val="24"/>
          <w:lang w:val="zh-CN"/>
        </w:rPr>
      </w:pPr>
    </w:p>
    <w:p w14:paraId="44116D94">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7281834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14448B8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19911EA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0009CE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1A0EA84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40A26B0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41F788B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6610FFE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1541E94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67B197E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777DA56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8FB15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7C5394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3FDCB58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A4E2C7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4BE084C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40C9AC5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64CDD81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EC706F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2E0078A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257B32A9">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112DD78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1C02AF0C">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9821B0C">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7B98AFC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17F6390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55FBF68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5E29CD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08E0EC8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22A05FB8">
      <w:pPr>
        <w:spacing w:before="100" w:beforeLines="0" w:after="100" w:afterLines="0"/>
        <w:jc w:val="center"/>
        <w:rPr>
          <w:rFonts w:hint="eastAsia" w:ascii="宋体" w:hAnsi="宋体"/>
          <w:sz w:val="24"/>
          <w:szCs w:val="24"/>
          <w:lang w:val="zh-CN"/>
        </w:rPr>
      </w:pPr>
    </w:p>
    <w:p w14:paraId="1ED0AE77">
      <w:pPr>
        <w:spacing w:before="100" w:beforeLines="0" w:after="100" w:afterLines="0"/>
        <w:jc w:val="center"/>
        <w:rPr>
          <w:rFonts w:hint="eastAsia" w:ascii="宋体" w:hAnsi="宋体"/>
          <w:sz w:val="24"/>
          <w:szCs w:val="24"/>
          <w:lang w:val="zh-CN"/>
        </w:rPr>
      </w:pPr>
    </w:p>
    <w:p w14:paraId="6F7509F2">
      <w:pPr>
        <w:spacing w:before="100" w:beforeLines="0" w:after="100" w:afterLines="0"/>
        <w:jc w:val="center"/>
        <w:rPr>
          <w:rFonts w:hint="eastAsia" w:ascii="宋体" w:hAnsi="宋体"/>
          <w:sz w:val="24"/>
          <w:szCs w:val="24"/>
          <w:lang w:val="zh-CN"/>
        </w:rPr>
      </w:pPr>
    </w:p>
    <w:p w14:paraId="2553C44C">
      <w:pPr>
        <w:spacing w:before="100" w:beforeLines="0" w:after="100" w:afterLines="0"/>
        <w:jc w:val="center"/>
        <w:rPr>
          <w:rFonts w:hint="eastAsia" w:ascii="宋体" w:hAnsi="宋体"/>
          <w:sz w:val="24"/>
          <w:szCs w:val="24"/>
          <w:lang w:val="zh-CN"/>
        </w:rPr>
      </w:pPr>
    </w:p>
    <w:p w14:paraId="348DC4E9">
      <w:pPr>
        <w:spacing w:before="100" w:beforeLines="0" w:after="100" w:afterLines="0"/>
        <w:jc w:val="center"/>
        <w:rPr>
          <w:rFonts w:hint="eastAsia" w:ascii="宋体" w:hAnsi="宋体"/>
          <w:sz w:val="24"/>
          <w:szCs w:val="24"/>
          <w:lang w:val="zh-CN"/>
        </w:rPr>
      </w:pPr>
    </w:p>
    <w:p w14:paraId="210C3B12">
      <w:pPr>
        <w:spacing w:before="100" w:beforeLines="0" w:after="100" w:afterLines="0"/>
        <w:jc w:val="center"/>
        <w:rPr>
          <w:rFonts w:hint="eastAsia" w:ascii="宋体" w:hAnsi="宋体"/>
          <w:sz w:val="24"/>
          <w:szCs w:val="24"/>
          <w:lang w:val="zh-CN"/>
        </w:rPr>
      </w:pPr>
    </w:p>
    <w:p w14:paraId="16EE33EB">
      <w:pPr>
        <w:spacing w:before="100" w:beforeLines="0" w:after="100" w:afterLines="0"/>
        <w:jc w:val="center"/>
        <w:rPr>
          <w:rFonts w:hint="eastAsia" w:ascii="宋体" w:hAnsi="宋体"/>
          <w:sz w:val="24"/>
          <w:szCs w:val="24"/>
          <w:lang w:val="zh-CN"/>
        </w:rPr>
      </w:pPr>
    </w:p>
    <w:p w14:paraId="18D7C088">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11C8F94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一、部门职责</w:t>
      </w:r>
    </w:p>
    <w:p w14:paraId="1ADCB15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贯彻执行国家财政、税收的方针、政策及其他有关政策，协调财税关系；（二）根据国民经济和社会发展战略，制定全县财政发展战略和中长期财政计划；（三）负责管理县级各财政收支；编制年度县级预决算草案并组织执行；（四）制定和实施全县国库管理制度、国库集中收付制度，按规定开展国库现金管理工作；制定全县政府采购制度，负责县级政府采购管理工作；贯彻涉外企业财务制度。（五）负责制定需要全县统一规定的开支标准和支出政策，制定全县行政事业单位国有资产管理规章制度，按规定管理县级行政事业单位国有资产；（六）负责管理政府非税收入，按规定管理行政事业性收费及政府性基金；（七）负责审核和汇总编制全县国有资本经营预决算草案，贯彻执行企业财务制度，组织实施国有企业和行政事业单位的清产核资、国有产权界定、登记、转让、授权经营等工作；（八）负责办理和监督县级财政的经济发展支出、政府性投资项目的财政拨款，贯彻执行基本建设财务制度，负责资金预算安排、审核、拨付工作。（九）管理县级财政社会保障和就业及医疗卫生支出，拟订社会保障资金（基金）的财务管理制度，编制全县社会保障预决算草案。（十）贯彻执行政府国内外债务管理政策、制度和办法；管理政府贷款业务；承担县域银行的信用评估和资金管理及转贷工作。（十一）贯彻执行会计法规和制度；管理全县的会计工作，监督和规范会计行为；指导和监督注册会计师和会计师事务所业务；指导和管理社会审计；负责会计、出纳委派制工作。（十二）监督检查财税法规、政策执行情况；反映财政收支管理中的重大问题；提出加强财政管理的政策建议。（十三）制定全县财政科学研究和教育培训规划；组织全县财务人员培训；负责财政信息和财政宣传工作。（十四）拟定上报全县村级产业发展互助分社指导意见和政策措施并按规定程序报请批准后监督执行；（十五）负责贯彻执行国家金融方针政策，研究制定全县金融发展规划，协助有关部门防范和处置地方金融风险。（十六）依法筹集道路交通事故社会救助基金，受理、审核垫付申请，依法追偿垫付款。（十七）负责县委、县政府授权管理和交办的其他工作。二、机构设置</w:t>
      </w:r>
    </w:p>
    <w:p w14:paraId="4ED633DC">
      <w:pPr>
        <w:spacing w:before="100" w:beforeLines="0" w:after="100" w:afterLines="0"/>
        <w:jc w:val="center"/>
        <w:rPr>
          <w:rFonts w:hint="eastAsia" w:ascii="宋体" w:hAnsi="宋体"/>
          <w:b/>
          <w:color w:val="auto"/>
          <w:sz w:val="24"/>
          <w:szCs w:val="24"/>
          <w:lang w:val="zh-CN"/>
        </w:rPr>
      </w:pPr>
      <w:r>
        <w:rPr>
          <w:rFonts w:hint="eastAsia" w:ascii="宋体" w:hAnsi="宋体"/>
          <w:color w:val="auto"/>
          <w:sz w:val="24"/>
          <w:szCs w:val="24"/>
          <w:lang w:val="zh-CN"/>
        </w:rPr>
        <w:t>预算股、综合股、行政政法股、农业股、教科文股、企业股、社会保障股、经济建设股、国库</w:t>
      </w:r>
      <w:bookmarkStart w:id="0" w:name="_GoBack"/>
      <w:bookmarkEnd w:id="0"/>
      <w:r>
        <w:rPr>
          <w:rFonts w:hint="eastAsia" w:ascii="宋体" w:hAnsi="宋体"/>
          <w:color w:val="auto"/>
          <w:sz w:val="24"/>
          <w:szCs w:val="24"/>
          <w:lang w:val="zh-CN"/>
        </w:rPr>
        <w:t>股、利用外资股、税政股、投资评审中心。</w:t>
      </w:r>
    </w:p>
    <w:p w14:paraId="2C4BA04B">
      <w:pPr>
        <w:spacing w:before="100" w:beforeLines="0" w:after="100" w:afterLines="0"/>
        <w:jc w:val="left"/>
        <w:rPr>
          <w:rFonts w:hint="eastAsia" w:ascii="宋体" w:hAnsi="宋体"/>
          <w:color w:val="auto"/>
          <w:sz w:val="24"/>
          <w:szCs w:val="24"/>
          <w:lang w:val="zh-CN"/>
        </w:rPr>
      </w:pPr>
    </w:p>
    <w:p w14:paraId="0586F732">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1E9AC5D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3610F32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764AD04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287CA9E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394E3D6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36631F6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2155872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09C3527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15D9BB8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253FB929">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2B8325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7729182C">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10875.06万元。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en-US" w:eastAsia="zh-CN"/>
        </w:rPr>
        <w:t>减少2745.34</w:t>
      </w:r>
      <w:r>
        <w:rPr>
          <w:rFonts w:hint="eastAsia" w:ascii="宋体" w:hAnsi="宋体"/>
          <w:color w:val="auto"/>
          <w:sz w:val="24"/>
          <w:szCs w:val="24"/>
          <w:lang w:val="zh-CN"/>
        </w:rPr>
        <w:t>万元,</w:t>
      </w:r>
      <w:r>
        <w:rPr>
          <w:rFonts w:hint="eastAsia" w:ascii="宋体" w:hAnsi="宋体"/>
          <w:color w:val="auto"/>
          <w:sz w:val="24"/>
          <w:szCs w:val="24"/>
          <w:lang w:val="en-US" w:eastAsia="zh-CN"/>
        </w:rPr>
        <w:t>25.25</w:t>
      </w:r>
      <w:r>
        <w:rPr>
          <w:rFonts w:hint="eastAsia" w:ascii="宋体" w:hAnsi="宋体"/>
          <w:color w:val="auto"/>
          <w:sz w:val="24"/>
          <w:szCs w:val="24"/>
          <w:lang w:val="zh-CN"/>
        </w:rPr>
        <w:t>%,主要原因是</w:t>
      </w:r>
      <w:r>
        <w:rPr>
          <w:rFonts w:hint="eastAsia" w:ascii="宋体" w:hAnsi="宋体"/>
          <w:color w:val="auto"/>
          <w:sz w:val="24"/>
          <w:szCs w:val="24"/>
          <w:lang w:val="en-US" w:eastAsia="zh-CN"/>
        </w:rPr>
        <w:t>项目支出减少。</w:t>
      </w:r>
    </w:p>
    <w:p w14:paraId="3030A39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1E47279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2023年度收入合计10875.06万元,其中：财政拨款收入10875.06万元,占100.00%。</w:t>
      </w:r>
    </w:p>
    <w:p w14:paraId="6EF4881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0FDE58A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2023年度支出合计10875.06万元,其中：基本支出1804.90万元,占16.60%；项目支出9070.15万元,占83.40%。</w:t>
      </w:r>
    </w:p>
    <w:p w14:paraId="0D6ADA1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2ADFC9D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10875.06万元。与</w:t>
      </w:r>
      <w:r>
        <w:rPr>
          <w:rFonts w:hint="eastAsia" w:ascii="宋体" w:hAnsi="宋体"/>
          <w:color w:val="auto"/>
          <w:sz w:val="24"/>
          <w:szCs w:val="24"/>
          <w:lang w:val="en-US"/>
        </w:rPr>
        <w:t>上</w:t>
      </w:r>
      <w:r>
        <w:rPr>
          <w:rFonts w:hint="eastAsia" w:ascii="宋体" w:hAnsi="宋体"/>
          <w:color w:val="auto"/>
          <w:sz w:val="24"/>
          <w:szCs w:val="24"/>
          <w:lang w:val="zh-CN"/>
        </w:rPr>
        <w:t>年</w:t>
      </w:r>
      <w:r>
        <w:rPr>
          <w:rFonts w:hint="eastAsia" w:ascii="宋体" w:hAnsi="宋体"/>
          <w:color w:val="auto"/>
          <w:sz w:val="24"/>
          <w:szCs w:val="24"/>
          <w:lang w:val="en-US" w:eastAsia="zh-CN"/>
        </w:rPr>
        <w:t>决算数</w:t>
      </w:r>
      <w:r>
        <w:rPr>
          <w:rFonts w:hint="eastAsia" w:ascii="宋体" w:hAnsi="宋体"/>
          <w:color w:val="auto"/>
          <w:sz w:val="24"/>
          <w:szCs w:val="24"/>
          <w:lang w:val="zh-CN"/>
        </w:rPr>
        <w:t>相比</w:t>
      </w:r>
      <w:r>
        <w:rPr>
          <w:rFonts w:hint="eastAsia" w:ascii="宋体" w:hAnsi="宋体"/>
          <w:color w:val="auto"/>
          <w:sz w:val="24"/>
          <w:szCs w:val="24"/>
          <w:lang w:val="en-US" w:eastAsia="zh-CN"/>
        </w:rPr>
        <w:t>减少2745.34</w:t>
      </w:r>
      <w:r>
        <w:rPr>
          <w:rFonts w:hint="eastAsia" w:ascii="宋体" w:hAnsi="宋体"/>
          <w:color w:val="auto"/>
          <w:sz w:val="24"/>
          <w:szCs w:val="24"/>
          <w:lang w:val="zh-CN"/>
        </w:rPr>
        <w:t>万元,</w:t>
      </w:r>
      <w:r>
        <w:rPr>
          <w:rFonts w:hint="eastAsia" w:ascii="宋体" w:hAnsi="宋体"/>
          <w:color w:val="auto"/>
          <w:sz w:val="24"/>
          <w:szCs w:val="24"/>
          <w:lang w:val="en-US" w:eastAsia="zh-CN"/>
        </w:rPr>
        <w:t>25.25</w:t>
      </w:r>
      <w:r>
        <w:rPr>
          <w:rFonts w:hint="eastAsia" w:ascii="宋体" w:hAnsi="宋体"/>
          <w:color w:val="auto"/>
          <w:sz w:val="24"/>
          <w:szCs w:val="24"/>
          <w:lang w:val="zh-CN"/>
        </w:rPr>
        <w:t>%,主要原因是</w:t>
      </w:r>
      <w:r>
        <w:rPr>
          <w:rFonts w:hint="eastAsia" w:ascii="宋体" w:hAnsi="宋体"/>
          <w:color w:val="auto"/>
          <w:sz w:val="24"/>
          <w:szCs w:val="24"/>
          <w:lang w:val="en-US" w:eastAsia="zh-CN"/>
        </w:rPr>
        <w:t>项目支出减少。</w:t>
      </w:r>
    </w:p>
    <w:p w14:paraId="15D28E5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6EC0BCA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6AB60F0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2023年度一般公共预算财政拨款支出10875.06万元,较上年决算数相比</w:t>
      </w:r>
      <w:r>
        <w:rPr>
          <w:rFonts w:hint="eastAsia" w:ascii="宋体" w:hAnsi="宋体"/>
          <w:color w:val="auto"/>
          <w:sz w:val="24"/>
          <w:szCs w:val="24"/>
          <w:lang w:val="en-US" w:eastAsia="zh-CN"/>
        </w:rPr>
        <w:t>减少2745.34</w:t>
      </w:r>
      <w:r>
        <w:rPr>
          <w:rFonts w:hint="eastAsia" w:ascii="宋体" w:hAnsi="宋体"/>
          <w:color w:val="auto"/>
          <w:sz w:val="24"/>
          <w:szCs w:val="24"/>
          <w:lang w:val="zh-CN"/>
        </w:rPr>
        <w:t>万元,</w:t>
      </w:r>
      <w:r>
        <w:rPr>
          <w:rFonts w:hint="eastAsia" w:ascii="宋体" w:hAnsi="宋体"/>
          <w:color w:val="auto"/>
          <w:sz w:val="24"/>
          <w:szCs w:val="24"/>
          <w:lang w:val="en-US" w:eastAsia="zh-CN"/>
        </w:rPr>
        <w:t>25.25</w:t>
      </w:r>
      <w:r>
        <w:rPr>
          <w:rFonts w:hint="eastAsia" w:ascii="宋体" w:hAnsi="宋体"/>
          <w:color w:val="auto"/>
          <w:sz w:val="24"/>
          <w:szCs w:val="24"/>
          <w:lang w:val="zh-CN"/>
        </w:rPr>
        <w:t>%,主要原因是</w:t>
      </w:r>
      <w:r>
        <w:rPr>
          <w:rFonts w:hint="eastAsia" w:ascii="宋体" w:hAnsi="宋体"/>
          <w:color w:val="auto"/>
          <w:sz w:val="24"/>
          <w:szCs w:val="24"/>
          <w:lang w:val="en-US" w:eastAsia="zh-CN"/>
        </w:rPr>
        <w:t>项目支出减少。</w:t>
      </w:r>
    </w:p>
    <w:p w14:paraId="5A54FA40">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一般公共预算财政拨款支出决算结构情况</w:t>
      </w:r>
    </w:p>
    <w:p w14:paraId="1707288B">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w:t>
      </w:r>
      <w:r>
        <w:rPr>
          <w:rFonts w:hint="eastAsia" w:ascii="宋体" w:hAnsi="宋体"/>
          <w:color w:val="auto"/>
          <w:sz w:val="24"/>
          <w:szCs w:val="24"/>
          <w:lang w:val="zh-CN"/>
        </w:rPr>
        <w:t>10875.06万元，主要用于以下方面：一般公共服务支出7354.68万元,占67.63%；科学技术支出1.00万元，占0.01%；社会保障和就业支出168.75万元,占1.55%；卫生健康支出70.96万元,占0.65%；农林水支出3157.36万元,占29.03%；住房保障支出122.31万元,占1.12%。</w:t>
      </w:r>
    </w:p>
    <w:p w14:paraId="7E2ED530">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一般公共预算财政拨款支出决算具体情况。</w:t>
      </w:r>
    </w:p>
    <w:p w14:paraId="6AB22393">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2023年度一般公共预算财政拨款支出年初预算为</w:t>
      </w:r>
      <w:r>
        <w:rPr>
          <w:rFonts w:hint="eastAsia" w:ascii="宋体" w:hAnsi="宋体"/>
          <w:color w:val="auto"/>
          <w:sz w:val="24"/>
          <w:szCs w:val="24"/>
          <w:lang w:val="zh-CN"/>
        </w:rPr>
        <w:t>16258.54万元,支出决算为10875.06万元,完成年初预算的66.89%。其中：</w:t>
      </w:r>
    </w:p>
    <w:p w14:paraId="0579EAD0">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年初预算数为5537.46万元,支出决算为7354.68万元,完成年初预算的132.82%,决算数大于预算数的主要原因是</w:t>
      </w:r>
      <w:r>
        <w:rPr>
          <w:rFonts w:hint="eastAsia" w:ascii="宋体" w:hAnsi="宋体"/>
          <w:color w:val="auto"/>
          <w:sz w:val="24"/>
          <w:szCs w:val="24"/>
          <w:lang w:val="en-US" w:eastAsia="zh-CN"/>
        </w:rPr>
        <w:t>驻村工作队生活补助，车补增加</w:t>
      </w:r>
      <w:r>
        <w:rPr>
          <w:rFonts w:hint="eastAsia" w:ascii="宋体" w:hAnsi="宋体"/>
          <w:color w:val="auto"/>
          <w:sz w:val="24"/>
          <w:szCs w:val="24"/>
          <w:lang w:val="zh-CN"/>
        </w:rPr>
        <w:t>。</w:t>
      </w:r>
    </w:p>
    <w:p w14:paraId="72241737">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年初预算数为0.00万元,支出决算为1.00万元,完成年初预算的%,决算数大于预算数的主要原因是</w:t>
      </w:r>
      <w:r>
        <w:rPr>
          <w:rFonts w:hint="eastAsia" w:ascii="宋体" w:hAnsi="宋体" w:eastAsia="宋体" w:cs="宋体"/>
          <w:i w:val="0"/>
          <w:iCs w:val="0"/>
          <w:caps w:val="0"/>
          <w:color w:val="auto"/>
          <w:spacing w:val="0"/>
          <w:sz w:val="24"/>
          <w:szCs w:val="24"/>
          <w:shd w:val="clear" w:color="auto" w:fill="auto"/>
        </w:rPr>
        <w:t>事业单位引进急需紧缺人才经费</w:t>
      </w:r>
      <w:r>
        <w:rPr>
          <w:rFonts w:hint="eastAsia" w:ascii="宋体" w:hAnsi="宋体" w:eastAsia="宋体" w:cs="宋体"/>
          <w:i w:val="0"/>
          <w:iCs w:val="0"/>
          <w:caps w:val="0"/>
          <w:color w:val="auto"/>
          <w:spacing w:val="0"/>
          <w:sz w:val="24"/>
          <w:szCs w:val="24"/>
          <w:shd w:val="clear" w:color="auto" w:fill="auto"/>
          <w:lang w:val="en-US" w:eastAsia="zh-CN"/>
        </w:rPr>
        <w:t>增加</w:t>
      </w:r>
      <w:r>
        <w:rPr>
          <w:rFonts w:hint="eastAsia" w:ascii="宋体" w:hAnsi="宋体" w:eastAsia="宋体" w:cs="宋体"/>
          <w:color w:val="auto"/>
          <w:sz w:val="24"/>
          <w:szCs w:val="24"/>
          <w:shd w:val="clear" w:color="auto" w:fill="auto"/>
          <w:lang w:val="zh-CN"/>
        </w:rPr>
        <w:t>。</w:t>
      </w:r>
    </w:p>
    <w:p w14:paraId="4C32E72D">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年初预算数为163.35万元,支出决算为168.75万元,完成年初预算的103.31%,决算数大于预算数的主要原因是</w:t>
      </w:r>
      <w:r>
        <w:rPr>
          <w:rFonts w:hint="eastAsia" w:ascii="宋体" w:hAnsi="宋体"/>
          <w:color w:val="auto"/>
          <w:sz w:val="24"/>
          <w:szCs w:val="24"/>
          <w:lang w:val="en-US" w:eastAsia="zh-CN"/>
        </w:rPr>
        <w:t>人员工资增加。</w:t>
      </w:r>
    </w:p>
    <w:p w14:paraId="4202FE51">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年初预算数为70.96万元,支出决算为70.96万元,完成年初预算的100.0%,决算数</w:t>
      </w:r>
      <w:r>
        <w:rPr>
          <w:rFonts w:hint="eastAsia" w:ascii="宋体" w:hAnsi="宋体"/>
          <w:color w:val="auto"/>
          <w:sz w:val="24"/>
          <w:szCs w:val="24"/>
          <w:lang w:val="en-US" w:eastAsia="zh-CN"/>
        </w:rPr>
        <w:t>与</w:t>
      </w:r>
      <w:r>
        <w:rPr>
          <w:rFonts w:hint="eastAsia" w:ascii="宋体" w:hAnsi="宋体"/>
          <w:color w:val="auto"/>
          <w:sz w:val="24"/>
          <w:szCs w:val="24"/>
          <w:lang w:val="zh-CN"/>
        </w:rPr>
        <w:t>预算数</w:t>
      </w:r>
      <w:r>
        <w:rPr>
          <w:rFonts w:hint="eastAsia" w:ascii="宋体" w:hAnsi="宋体"/>
          <w:color w:val="auto"/>
          <w:sz w:val="24"/>
          <w:szCs w:val="24"/>
          <w:lang w:val="en-US" w:eastAsia="zh-CN"/>
        </w:rPr>
        <w:t>无变化</w:t>
      </w:r>
      <w:r>
        <w:rPr>
          <w:rFonts w:hint="eastAsia" w:ascii="宋体" w:hAnsi="宋体"/>
          <w:color w:val="auto"/>
          <w:sz w:val="24"/>
          <w:szCs w:val="24"/>
          <w:lang w:val="zh-CN"/>
        </w:rPr>
        <w:t>。</w:t>
      </w:r>
    </w:p>
    <w:p w14:paraId="15E1CCDB">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年初预算数为3076.67万元,支出决算为3157.36万元,完成年初预算的102.62%,决算数大于预算数的主要原因是农林水支出</w:t>
      </w:r>
      <w:r>
        <w:rPr>
          <w:rFonts w:hint="eastAsia" w:ascii="宋体" w:hAnsi="宋体"/>
          <w:color w:val="auto"/>
          <w:sz w:val="24"/>
          <w:szCs w:val="24"/>
          <w:lang w:val="en-US" w:eastAsia="zh-CN"/>
        </w:rPr>
        <w:t>增加</w:t>
      </w:r>
      <w:r>
        <w:rPr>
          <w:rFonts w:hint="eastAsia" w:ascii="宋体" w:hAnsi="宋体"/>
          <w:color w:val="auto"/>
          <w:sz w:val="24"/>
          <w:szCs w:val="24"/>
          <w:lang w:val="zh-CN"/>
        </w:rPr>
        <w:t>。</w:t>
      </w:r>
    </w:p>
    <w:p w14:paraId="57E550BF">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年初预算数为126.28万元,支出决算为122.31万元,完成年初预算的96.85%,决算数小于预算数的主要原因是</w:t>
      </w:r>
      <w:r>
        <w:rPr>
          <w:rFonts w:hint="eastAsia" w:ascii="宋体" w:hAnsi="宋体"/>
          <w:color w:val="auto"/>
          <w:sz w:val="24"/>
          <w:szCs w:val="24"/>
          <w:lang w:val="en-US" w:eastAsia="zh-CN"/>
        </w:rPr>
        <w:t>12月份公积金当年未支付</w:t>
      </w:r>
      <w:r>
        <w:rPr>
          <w:rFonts w:hint="eastAsia" w:ascii="宋体" w:hAnsi="宋体"/>
          <w:color w:val="auto"/>
          <w:sz w:val="24"/>
          <w:szCs w:val="24"/>
          <w:lang w:val="zh-CN"/>
        </w:rPr>
        <w:t>。</w:t>
      </w:r>
    </w:p>
    <w:p w14:paraId="65BDE09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7</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年初预算数为25.00万元,支出决算为0.00万元,完成年初预算的0.0%,决算数小于预算数的主要原因是</w:t>
      </w:r>
      <w:r>
        <w:rPr>
          <w:rFonts w:hint="eastAsia" w:ascii="宋体" w:hAnsi="宋体"/>
          <w:color w:val="auto"/>
          <w:sz w:val="24"/>
          <w:szCs w:val="24"/>
          <w:lang w:val="en-US" w:eastAsia="zh-CN"/>
        </w:rPr>
        <w:t>年底未支付</w:t>
      </w:r>
      <w:r>
        <w:rPr>
          <w:rFonts w:hint="eastAsia" w:ascii="宋体" w:hAnsi="宋体"/>
          <w:color w:val="auto"/>
          <w:sz w:val="24"/>
          <w:szCs w:val="24"/>
          <w:lang w:val="zh-CN"/>
        </w:rPr>
        <w:t>。</w:t>
      </w:r>
    </w:p>
    <w:p w14:paraId="26701E5A">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年初预算数为7256.81万元,支出决算为0.00万元,完成年初预算的0.0%,决算数小于预算数的主要原因是</w:t>
      </w:r>
      <w:r>
        <w:rPr>
          <w:rFonts w:hint="eastAsia" w:ascii="宋体" w:hAnsi="宋体"/>
          <w:color w:val="auto"/>
          <w:sz w:val="24"/>
          <w:szCs w:val="24"/>
          <w:lang w:val="en-US" w:eastAsia="zh-CN"/>
        </w:rPr>
        <w:t>贴息资金未支付</w:t>
      </w:r>
      <w:r>
        <w:rPr>
          <w:rFonts w:hint="eastAsia" w:ascii="宋体" w:hAnsi="宋体"/>
          <w:color w:val="auto"/>
          <w:sz w:val="24"/>
          <w:szCs w:val="24"/>
          <w:lang w:val="zh-CN"/>
        </w:rPr>
        <w:t>。</w:t>
      </w:r>
    </w:p>
    <w:p w14:paraId="13B8CCE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7F392EE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2023年度一般公共预算财政拨款基本支出1804.90万元。其中：</w:t>
      </w:r>
    </w:p>
    <w:p w14:paraId="286CA55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1673.88万元,较上年决算数</w:t>
      </w:r>
      <w:r>
        <w:rPr>
          <w:rFonts w:hint="eastAsia" w:ascii="宋体" w:hAnsi="宋体"/>
          <w:color w:val="auto"/>
          <w:sz w:val="24"/>
          <w:szCs w:val="24"/>
          <w:lang w:val="en-US" w:eastAsia="zh-CN"/>
        </w:rPr>
        <w:t>减少189.74</w:t>
      </w:r>
      <w:r>
        <w:rPr>
          <w:rFonts w:hint="eastAsia" w:ascii="宋体" w:hAnsi="宋体"/>
          <w:color w:val="auto"/>
          <w:sz w:val="24"/>
          <w:szCs w:val="24"/>
          <w:lang w:val="zh-CN"/>
        </w:rPr>
        <w:t>万元,</w:t>
      </w:r>
      <w:r>
        <w:rPr>
          <w:rFonts w:hint="eastAsia" w:ascii="宋体" w:hAnsi="宋体"/>
          <w:color w:val="auto"/>
          <w:sz w:val="24"/>
          <w:szCs w:val="24"/>
          <w:lang w:val="en-US" w:eastAsia="zh-CN"/>
        </w:rPr>
        <w:t>11.34</w:t>
      </w:r>
      <w:r>
        <w:rPr>
          <w:rFonts w:hint="eastAsia" w:ascii="宋体" w:hAnsi="宋体"/>
          <w:color w:val="auto"/>
          <w:sz w:val="24"/>
          <w:szCs w:val="24"/>
          <w:lang w:val="zh-CN"/>
        </w:rPr>
        <w:t>%,主要原因是</w:t>
      </w:r>
      <w:r>
        <w:rPr>
          <w:rFonts w:hint="eastAsia" w:ascii="宋体" w:hAnsi="宋体"/>
          <w:color w:val="auto"/>
          <w:sz w:val="24"/>
          <w:szCs w:val="24"/>
          <w:lang w:val="en-US" w:eastAsia="zh-CN"/>
        </w:rPr>
        <w:t>单位人员减少</w:t>
      </w:r>
      <w:r>
        <w:rPr>
          <w:rFonts w:hint="eastAsia" w:ascii="宋体" w:hAnsi="宋体"/>
          <w:color w:val="auto"/>
          <w:sz w:val="24"/>
          <w:szCs w:val="24"/>
          <w:lang w:val="zh-CN"/>
        </w:rPr>
        <w:t>。人员经费用途主要包括基本工资、津贴补贴、奖金、机关事业单位基本养老保险缴费、职工基本医疗保险缴费、其他社会保障缴费、住房公积金、退休费。</w:t>
      </w:r>
    </w:p>
    <w:p w14:paraId="12E07981">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131.02万元,较上年决算数</w:t>
      </w:r>
      <w:r>
        <w:rPr>
          <w:rFonts w:hint="eastAsia" w:ascii="宋体" w:hAnsi="宋体"/>
          <w:color w:val="auto"/>
          <w:sz w:val="24"/>
          <w:szCs w:val="24"/>
          <w:lang w:val="en-US" w:eastAsia="zh-CN"/>
        </w:rPr>
        <w:t>减少4266.56</w:t>
      </w:r>
      <w:r>
        <w:rPr>
          <w:rFonts w:hint="eastAsia" w:ascii="宋体" w:hAnsi="宋体"/>
          <w:color w:val="auto"/>
          <w:sz w:val="24"/>
          <w:szCs w:val="24"/>
          <w:lang w:val="zh-CN"/>
        </w:rPr>
        <w:t>万元,</w:t>
      </w:r>
      <w:r>
        <w:rPr>
          <w:rFonts w:hint="eastAsia" w:ascii="宋体" w:hAnsi="宋体"/>
          <w:color w:val="auto"/>
          <w:sz w:val="24"/>
          <w:szCs w:val="24"/>
          <w:lang w:val="en-US" w:eastAsia="zh-CN"/>
        </w:rPr>
        <w:t>97.03</w:t>
      </w:r>
      <w:r>
        <w:rPr>
          <w:rFonts w:hint="eastAsia" w:ascii="宋体" w:hAnsi="宋体"/>
          <w:color w:val="auto"/>
          <w:sz w:val="24"/>
          <w:szCs w:val="24"/>
          <w:lang w:val="zh-CN"/>
        </w:rPr>
        <w:t>%,主要原因是</w:t>
      </w:r>
      <w:r>
        <w:rPr>
          <w:rFonts w:hint="eastAsia" w:ascii="宋体" w:hAnsi="宋体"/>
          <w:color w:val="auto"/>
          <w:sz w:val="24"/>
          <w:szCs w:val="24"/>
          <w:lang w:val="en-US" w:eastAsia="zh-CN"/>
        </w:rPr>
        <w:t>贴息资金记入项目支出</w:t>
      </w:r>
      <w:r>
        <w:rPr>
          <w:rFonts w:hint="eastAsia" w:ascii="宋体" w:hAnsi="宋体"/>
          <w:color w:val="auto"/>
          <w:sz w:val="24"/>
          <w:szCs w:val="24"/>
          <w:lang w:val="zh-CN"/>
        </w:rPr>
        <w:t>。公用经费用途主要包括办公费、</w:t>
      </w:r>
      <w:r>
        <w:rPr>
          <w:rFonts w:hint="eastAsia" w:ascii="宋体" w:hAnsi="宋体"/>
          <w:color w:val="auto"/>
          <w:sz w:val="24"/>
          <w:szCs w:val="24"/>
          <w:lang w:val="en-US" w:eastAsia="zh-CN"/>
        </w:rPr>
        <w:t>水</w:t>
      </w:r>
      <w:r>
        <w:rPr>
          <w:rFonts w:hint="eastAsia" w:ascii="宋体" w:hAnsi="宋体"/>
          <w:color w:val="auto"/>
          <w:sz w:val="24"/>
          <w:szCs w:val="24"/>
          <w:lang w:val="zh-CN"/>
        </w:rPr>
        <w:t>费、</w:t>
      </w:r>
      <w:r>
        <w:rPr>
          <w:rFonts w:hint="eastAsia" w:ascii="宋体" w:hAnsi="宋体"/>
          <w:color w:val="auto"/>
          <w:sz w:val="24"/>
          <w:szCs w:val="24"/>
          <w:lang w:val="en-US" w:eastAsia="zh-CN"/>
        </w:rPr>
        <w:t>电</w:t>
      </w:r>
      <w:r>
        <w:rPr>
          <w:rFonts w:hint="eastAsia" w:ascii="宋体" w:hAnsi="宋体"/>
          <w:color w:val="auto"/>
          <w:sz w:val="24"/>
          <w:szCs w:val="24"/>
          <w:lang w:val="zh-CN"/>
        </w:rPr>
        <w:t>费、</w:t>
      </w:r>
      <w:r>
        <w:rPr>
          <w:rFonts w:hint="eastAsia" w:ascii="宋体" w:hAnsi="宋体"/>
          <w:color w:val="auto"/>
          <w:sz w:val="24"/>
          <w:szCs w:val="24"/>
          <w:lang w:val="en-US" w:eastAsia="zh-CN"/>
        </w:rPr>
        <w:t>邮电</w:t>
      </w:r>
      <w:r>
        <w:rPr>
          <w:rFonts w:hint="eastAsia" w:ascii="宋体" w:hAnsi="宋体"/>
          <w:color w:val="auto"/>
          <w:sz w:val="24"/>
          <w:szCs w:val="24"/>
          <w:lang w:val="zh-CN"/>
        </w:rPr>
        <w:t>费、差旅费、工会经费、其他交通费用。</w:t>
      </w:r>
    </w:p>
    <w:p w14:paraId="2A060D0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7F7EC52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1E22F34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7E29F1B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3F69A82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5371C31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22622A6A">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2DC1B5F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5FCCEA3A">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0B15F531">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2718C59F">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525BBCBA">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6FA7A21D">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3869CB59">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w:t>
      </w:r>
      <w:r>
        <w:rPr>
          <w:rFonts w:hint="eastAsia" w:ascii="宋体" w:hAnsi="宋体"/>
          <w:color w:val="auto"/>
          <w:sz w:val="24"/>
          <w:szCs w:val="24"/>
          <w:lang w:val="en-US" w:eastAsia="zh-CN"/>
        </w:rPr>
        <w:t>无变动</w:t>
      </w:r>
      <w:r>
        <w:rPr>
          <w:rFonts w:hint="eastAsia" w:ascii="宋体" w:hAnsi="宋体"/>
          <w:color w:val="FF0000"/>
          <w:sz w:val="24"/>
          <w:szCs w:val="24"/>
          <w:lang w:val="zh-CN"/>
        </w:rPr>
        <w:t>。</w:t>
      </w:r>
    </w:p>
    <w:p w14:paraId="7C696301">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7C7DFB1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6D89CA2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357AFC1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2023年度本部门机关运行经费支出114.02万元,机关运行经费主要用于开支.办公费、</w:t>
      </w:r>
      <w:r>
        <w:rPr>
          <w:rFonts w:hint="eastAsia" w:ascii="宋体" w:hAnsi="宋体"/>
          <w:color w:val="auto"/>
          <w:sz w:val="24"/>
          <w:szCs w:val="24"/>
          <w:lang w:val="en-US" w:eastAsia="zh-CN"/>
        </w:rPr>
        <w:t>水</w:t>
      </w:r>
      <w:r>
        <w:rPr>
          <w:rFonts w:hint="eastAsia" w:ascii="宋体" w:hAnsi="宋体"/>
          <w:color w:val="auto"/>
          <w:sz w:val="24"/>
          <w:szCs w:val="24"/>
          <w:lang w:val="zh-CN"/>
        </w:rPr>
        <w:t>费、</w:t>
      </w:r>
      <w:r>
        <w:rPr>
          <w:rFonts w:hint="eastAsia" w:ascii="宋体" w:hAnsi="宋体"/>
          <w:color w:val="auto"/>
          <w:sz w:val="24"/>
          <w:szCs w:val="24"/>
          <w:lang w:val="en-US" w:eastAsia="zh-CN"/>
        </w:rPr>
        <w:t>电</w:t>
      </w:r>
      <w:r>
        <w:rPr>
          <w:rFonts w:hint="eastAsia" w:ascii="宋体" w:hAnsi="宋体"/>
          <w:color w:val="auto"/>
          <w:sz w:val="24"/>
          <w:szCs w:val="24"/>
          <w:lang w:val="zh-CN"/>
        </w:rPr>
        <w:t>费、</w:t>
      </w:r>
      <w:r>
        <w:rPr>
          <w:rFonts w:hint="eastAsia" w:ascii="宋体" w:hAnsi="宋体"/>
          <w:color w:val="auto"/>
          <w:sz w:val="24"/>
          <w:szCs w:val="24"/>
          <w:lang w:val="en-US" w:eastAsia="zh-CN"/>
        </w:rPr>
        <w:t>邮电</w:t>
      </w:r>
      <w:r>
        <w:rPr>
          <w:rFonts w:hint="eastAsia" w:ascii="宋体" w:hAnsi="宋体"/>
          <w:color w:val="auto"/>
          <w:sz w:val="24"/>
          <w:szCs w:val="24"/>
          <w:lang w:val="zh-CN"/>
        </w:rPr>
        <w:t>费、差旅费、工会经费、其他交通费用。机关运行经费较上年决算数减少4283.57万元,下降97.41%,主要原因是</w:t>
      </w:r>
      <w:r>
        <w:rPr>
          <w:rFonts w:hint="eastAsia" w:ascii="宋体" w:hAnsi="宋体"/>
          <w:color w:val="auto"/>
          <w:sz w:val="24"/>
          <w:szCs w:val="24"/>
          <w:lang w:val="en-US" w:eastAsia="zh-CN"/>
        </w:rPr>
        <w:t>贴息资金记入项目支出</w:t>
      </w:r>
      <w:r>
        <w:rPr>
          <w:rFonts w:hint="eastAsia" w:ascii="宋体" w:hAnsi="宋体"/>
          <w:color w:val="auto"/>
          <w:sz w:val="24"/>
          <w:szCs w:val="24"/>
          <w:lang w:val="zh-CN"/>
        </w:rPr>
        <w:t>。</w:t>
      </w:r>
    </w:p>
    <w:p w14:paraId="5B22A21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14:paraId="3E6385DB">
      <w:pPr>
        <w:spacing w:before="100" w:beforeLines="0" w:after="100" w:afterLines="0"/>
        <w:jc w:val="left"/>
        <w:rPr>
          <w:rFonts w:hint="eastAsia" w:ascii="宋体" w:hAnsi="宋体"/>
          <w:color w:val="FF0000"/>
          <w:sz w:val="24"/>
          <w:szCs w:val="24"/>
          <w:lang w:val="zh-CN"/>
        </w:rPr>
      </w:pPr>
      <w:r>
        <w:rPr>
          <w:rFonts w:hint="eastAsia" w:ascii="宋体" w:hAnsi="宋体"/>
          <w:b/>
          <w:bCs/>
          <w:color w:val="auto"/>
          <w:sz w:val="24"/>
          <w:szCs w:val="24"/>
          <w:lang w:val="zh-CN" w:eastAsia="zh-CN"/>
        </w:rPr>
        <w:t>十一、政府采购支出情况说明</w:t>
      </w:r>
    </w:p>
    <w:p w14:paraId="6D24B59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6.55万元,其中：政府采购货物支出6.55万元、政府采购工程支出0.00万元、政府采购服务支出0.00万元。授予中小企业合同金额6.55万元,占政府采购支出总额的100.00%,其中：授予小微企业合同金额6.55万元,占政府采购支出总额的100.00%。</w:t>
      </w:r>
    </w:p>
    <w:p w14:paraId="0A02CF5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2478C7D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23892AC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1C968C9E">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10F578CF">
      <w:pPr>
        <w:spacing w:before="100" w:beforeLines="0" w:after="100" w:afterLines="0"/>
        <w:jc w:val="left"/>
        <w:rPr>
          <w:rFonts w:hint="eastAsia" w:ascii="宋体" w:hAnsi="宋体"/>
          <w:color w:val="auto"/>
          <w:sz w:val="24"/>
          <w:szCs w:val="24"/>
          <w:lang w:val="zh-CN"/>
        </w:rPr>
      </w:pPr>
    </w:p>
    <w:p w14:paraId="7638012E">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6C98EE2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单位未开展预算绩效管理。</w:t>
      </w:r>
    </w:p>
    <w:p w14:paraId="09B8B17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、预算绩效管理工作开展情况</w:t>
      </w:r>
    </w:p>
    <w:p w14:paraId="672BC46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单位未开展预算绩效管理。</w:t>
      </w:r>
    </w:p>
    <w:p w14:paraId="363B4D9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150B830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单位未开展预算绩效管理。</w:t>
      </w:r>
    </w:p>
    <w:p w14:paraId="775959D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7BA2A99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单位未开展预算绩效管理。</w:t>
      </w:r>
    </w:p>
    <w:p w14:paraId="0548F4A7">
      <w:pPr>
        <w:spacing w:before="100" w:beforeLines="0" w:after="100" w:afterLines="0"/>
        <w:jc w:val="left"/>
        <w:rPr>
          <w:rFonts w:hint="eastAsia" w:ascii="宋体" w:hAnsi="宋体"/>
          <w:color w:val="auto"/>
          <w:sz w:val="24"/>
          <w:szCs w:val="24"/>
          <w:lang w:val="zh-CN"/>
        </w:rPr>
      </w:pPr>
    </w:p>
    <w:p w14:paraId="38357C24">
      <w:pPr>
        <w:spacing w:before="100" w:beforeLines="0" w:after="100" w:afterLines="0"/>
        <w:jc w:val="center"/>
        <w:rPr>
          <w:rFonts w:hint="eastAsia" w:ascii="宋体" w:hAnsi="宋体"/>
          <w:b/>
          <w:bCs/>
          <w:color w:val="auto"/>
          <w:sz w:val="24"/>
          <w:szCs w:val="24"/>
          <w:lang w:val="zh-CN" w:eastAsia="zh-CN"/>
        </w:rPr>
      </w:pPr>
      <w:r>
        <w:rPr>
          <w:rFonts w:hint="eastAsia" w:ascii="宋体" w:hAnsi="宋体"/>
          <w:color w:val="auto"/>
          <w:sz w:val="24"/>
          <w:szCs w:val="24"/>
          <w:lang w:val="en-US" w:eastAsia="zh-CN"/>
        </w:rPr>
        <w:t>.</w:t>
      </w: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0F4758C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F34573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73009B6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597E985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69A4447A">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3E7423D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7D5FC6C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3C186F1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1298BEC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688D315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2CC6578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3C53698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AC18A0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0831C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778424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2B9B068A">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YTJjMzdiNjVmYzBlMGY1MDhjN2ZlMDEwNzYxZmEifQ=="/>
  </w:docVars>
  <w:rsids>
    <w:rsidRoot w:val="00000000"/>
    <w:rsid w:val="1DD23137"/>
    <w:rsid w:val="34752C5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87c7dbf0-8dbf-4ac2-9f80-cafc66e28739}">
  <ds:schemaRefs/>
</ds:datastoreItem>
</file>

<file path=customXml/itemProps2.xml><?xml version="1.0" encoding="utf-8"?>
<ds:datastoreItem xmlns:ds="http://schemas.openxmlformats.org/officeDocument/2006/customXml" ds:itemID="{81c03de8-c46c-42f9-ace4-4f3f06aee055}">
  <ds:schemaRefs/>
</ds:datastoreItem>
</file>

<file path=customXml/itemProps3.xml><?xml version="1.0" encoding="utf-8"?>
<ds:datastoreItem xmlns:ds="http://schemas.openxmlformats.org/officeDocument/2006/customXml" ds:itemID="{bf5046ef-04e7-46b3-bf1b-6265def8ccf2}">
  <ds:schemaRefs/>
</ds:datastoreItem>
</file>

<file path=customXml/itemProps4.xml><?xml version="1.0" encoding="utf-8"?>
<ds:datastoreItem xmlns:ds="http://schemas.openxmlformats.org/officeDocument/2006/customXml" ds:itemID="{99373e82-9e59-4e14-aac9-81b28b0ac110}">
  <ds:schemaRefs/>
</ds:datastoreItem>
</file>

<file path=customXml/itemProps5.xml><?xml version="1.0" encoding="utf-8"?>
<ds:datastoreItem xmlns:ds="http://schemas.openxmlformats.org/officeDocument/2006/customXml" ds:itemID="{f638d8c2-97b0-4690-8d07-7b5c761ba86f}">
  <ds:schemaRefs/>
</ds:datastoreItem>
</file>

<file path=customXml/itemProps6.xml><?xml version="1.0" encoding="utf-8"?>
<ds:datastoreItem xmlns:ds="http://schemas.openxmlformats.org/officeDocument/2006/customXml" ds:itemID="{558e9c5a-37e4-49aa-805d-2937a3f6a89b}">
  <ds:schemaRefs/>
</ds:datastoreItem>
</file>

<file path=customXml/itemProps7.xml><?xml version="1.0" encoding="utf-8"?>
<ds:datastoreItem xmlns:ds="http://schemas.openxmlformats.org/officeDocument/2006/customXml" ds:itemID="{298e3b59-797e-47fc-a18b-dba28d242fd5}">
  <ds:schemaRefs/>
</ds:datastoreItem>
</file>

<file path=customXml/itemProps8.xml><?xml version="1.0" encoding="utf-8"?>
<ds:datastoreItem xmlns:ds="http://schemas.openxmlformats.org/officeDocument/2006/customXml" ds:itemID="{61402a14-1ede-4200-ab40-ffb4d3e9637b}">
  <ds:schemaRefs/>
</ds:datastoreItem>
</file>

<file path=customXml/itemProps9.xml><?xml version="1.0" encoding="utf-8"?>
<ds:datastoreItem xmlns:ds="http://schemas.openxmlformats.org/officeDocument/2006/customXml" ds:itemID="{0eef5261-13c6-4a68-9097-742841d5bf99}">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3883</Words>
  <Characters>4389</Characters>
  <Lines>0</Lines>
  <Paragraphs>0</Paragraphs>
  <TotalTime>0</TotalTime>
  <ScaleCrop>false</ScaleCrop>
  <LinksUpToDate>false</LinksUpToDate>
  <CharactersWithSpaces>4393</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2024-09-12T08:23:00Z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E06D266F13EA4024808CEEADBAD91186_11</vt:lpwstr>
  </property>
</Properties>
</file>