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关于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2023</w:t>
      </w:r>
      <w:r>
        <w:rPr>
          <w:rFonts w:hint="eastAsia" w:ascii="华文楷体" w:hAnsi="华文楷体" w:eastAsia="华文楷体"/>
          <w:b/>
          <w:sz w:val="36"/>
          <w:szCs w:val="36"/>
        </w:rPr>
        <w:t>年东乡县一般公共预算支出决算的说明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楷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东乡县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年一般公共预算汇总支出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471914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万元，20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年初人大批复预算支出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319622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万元，在预算执行中加上新增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eastAsia="zh-CN"/>
        </w:rPr>
        <w:t>各类一般性补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助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101931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新增债务收入10109万元，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新增专项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转移支付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资金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28983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，动用预算稳定调节基金1473万元，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eastAsia="zh-CN"/>
        </w:rPr>
        <w:t>上年结余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2798万元，调入资金308万元，本年短收安排633万元，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县级支出预算变动为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489758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万元。年终决算实现支出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488691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万元，占变动预算的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99.78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%，比上年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14791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  <w:lang w:val="en-US" w:eastAsia="zh-CN"/>
        </w:rPr>
        <w:t>3.12</w:t>
      </w:r>
      <w:r>
        <w:rPr>
          <w:rFonts w:hint="eastAsia" w:ascii="仿宋_GB2312" w:hAnsi="华文楷体" w:eastAsia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分功能科目完成情况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一般公共服务支出</w:t>
      </w:r>
      <w:r>
        <w:rPr>
          <w:rFonts w:hint="eastAsia" w:ascii="仿宋_GB2312" w:hAnsi="华文楷体" w:eastAsia="仿宋_GB2312"/>
          <w:bCs/>
          <w:sz w:val="32"/>
          <w:szCs w:val="32"/>
          <w:lang w:val="en-US" w:eastAsia="zh-CN"/>
        </w:rPr>
        <w:t>50354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增加503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增长1.01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公共安全支出</w:t>
      </w:r>
      <w:r>
        <w:rPr>
          <w:rFonts w:hint="eastAsia" w:ascii="仿宋_GB2312" w:hAnsi="华文楷体" w:eastAsia="仿宋_GB2312"/>
          <w:b w:val="0"/>
          <w:bCs/>
          <w:sz w:val="32"/>
          <w:szCs w:val="32"/>
          <w:lang w:val="en-US" w:eastAsia="zh-CN"/>
        </w:rPr>
        <w:t>8585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减少666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减少7.1</w:t>
      </w:r>
      <w:r>
        <w:rPr>
          <w:rFonts w:hint="eastAsia" w:ascii="仿宋_GB2312" w:hAnsi="华文楷体" w:eastAsia="仿宋_GB2312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教育支出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73157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增加8538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增加13.2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  <w:highlight w:val="none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科学技术支出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3635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增加1083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42.4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文化体育与传媒支出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4114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减少602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减少12.8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社会保障和就业支出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71354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增加3923万元</w:t>
      </w:r>
      <w:r>
        <w:rPr>
          <w:rFonts w:hint="eastAsia" w:ascii="仿宋_GB2312" w:hAnsi="华文楷体" w:eastAsia="仿宋_GB2312"/>
          <w:sz w:val="32"/>
          <w:szCs w:val="32"/>
        </w:rPr>
        <w:t>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增加6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卫生健康</w:t>
      </w:r>
      <w:r>
        <w:rPr>
          <w:rFonts w:hint="eastAsia" w:ascii="仿宋_GB2312" w:hAnsi="华文楷体" w:eastAsia="仿宋_GB2312"/>
          <w:b/>
          <w:sz w:val="32"/>
          <w:szCs w:val="32"/>
        </w:rPr>
        <w:t>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27827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减少1582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减少6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城乡社区支出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6672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减少5550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减少45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农林水支出</w:t>
      </w:r>
      <w:r>
        <w:rPr>
          <w:rFonts w:hint="eastAsia" w:ascii="仿宋_GB2312" w:hAnsi="华文楷体" w:eastAsia="仿宋_GB2312"/>
          <w:b w:val="0"/>
          <w:bCs/>
          <w:sz w:val="32"/>
          <w:szCs w:val="32"/>
        </w:rPr>
        <w:t>163088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减少3569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减少2</w:t>
      </w:r>
      <w:r>
        <w:rPr>
          <w:rFonts w:hint="eastAsia" w:ascii="仿宋_GB2312" w:hAnsi="华文楷体" w:eastAsia="仿宋_GB2312"/>
          <w:sz w:val="32"/>
          <w:szCs w:val="32"/>
        </w:rPr>
        <w:t>%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交通运输支出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10602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增加2267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增加27%</w:t>
      </w:r>
      <w:r>
        <w:rPr>
          <w:rFonts w:hint="eastAsia" w:ascii="仿宋_GB2312" w:hAnsi="华文楷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资源勘探信息等支出</w:t>
      </w:r>
      <w:r>
        <w:rPr>
          <w:rFonts w:hint="eastAsia" w:ascii="仿宋_GB2312" w:hAnsi="华文楷体" w:eastAsia="仿宋_GB2312"/>
          <w:b w:val="0"/>
          <w:bCs/>
          <w:sz w:val="32"/>
          <w:szCs w:val="32"/>
          <w:lang w:val="en-US" w:eastAsia="zh-CN"/>
        </w:rPr>
        <w:t>1449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减少815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减少36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商业服务业等支出</w:t>
      </w:r>
      <w:r>
        <w:rPr>
          <w:rFonts w:hint="eastAsia" w:ascii="仿宋_GB2312" w:hAnsi="华文楷体" w:eastAsia="仿宋_GB2312"/>
          <w:b w:val="0"/>
          <w:bCs/>
          <w:sz w:val="32"/>
          <w:szCs w:val="32"/>
          <w:lang w:val="en-US" w:eastAsia="zh-CN"/>
        </w:rPr>
        <w:t>670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减少152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减少18</w:t>
      </w:r>
      <w:r>
        <w:rPr>
          <w:rFonts w:hint="eastAsia" w:ascii="仿宋_GB2312" w:hAnsi="华文楷体" w:eastAsia="仿宋_GB2312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金融</w:t>
      </w:r>
      <w:r>
        <w:rPr>
          <w:rFonts w:hint="eastAsia" w:ascii="仿宋_GB2312" w:hAnsi="华文楷体" w:eastAsia="仿宋_GB2312"/>
          <w:b/>
          <w:sz w:val="32"/>
          <w:szCs w:val="32"/>
        </w:rPr>
        <w:t>支出</w:t>
      </w:r>
      <w:r>
        <w:rPr>
          <w:rFonts w:hint="eastAsia" w:ascii="仿宋_GB2312" w:hAnsi="华文楷体" w:eastAsia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仿宋_GB2312" w:hAnsi="华文楷体" w:eastAsia="仿宋_GB2312"/>
          <w:sz w:val="32"/>
          <w:szCs w:val="32"/>
        </w:rPr>
        <w:t>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减少10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减少50</w:t>
      </w:r>
      <w:r>
        <w:rPr>
          <w:rFonts w:hint="eastAsia" w:ascii="仿宋_GB2312" w:hAnsi="华文楷体" w:eastAsia="仿宋_GB2312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自然</w:t>
      </w:r>
      <w:r>
        <w:rPr>
          <w:rFonts w:hint="eastAsia" w:ascii="仿宋_GB2312" w:hAnsi="华文楷体" w:eastAsia="仿宋_GB2312"/>
          <w:b/>
          <w:sz w:val="32"/>
          <w:szCs w:val="32"/>
        </w:rPr>
        <w:t>资源气象等事务支出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3371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减少3504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减少51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  <w:shd w:val="clear" w:color="auto" w:fill="FF0000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住房保障支出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20578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减少2668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减少11</w:t>
      </w:r>
      <w:r>
        <w:rPr>
          <w:rFonts w:hint="eastAsia" w:ascii="仿宋_GB2312" w:hAnsi="华文楷体" w:eastAsia="仿宋_GB2312"/>
          <w:sz w:val="32"/>
          <w:szCs w:val="32"/>
        </w:rPr>
        <w:t>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粮油物资储备事务支出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699</w:t>
      </w:r>
      <w:r>
        <w:rPr>
          <w:rFonts w:hint="eastAsia" w:ascii="仿宋_GB2312" w:hAnsi="华文楷体" w:eastAsia="仿宋_GB2312"/>
          <w:sz w:val="32"/>
          <w:szCs w:val="32"/>
        </w:rPr>
        <w:t>万元，比上年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增加280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增加67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  <w:highlight w:val="none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灾害防治及应急管理支出</w:t>
      </w:r>
      <w:r>
        <w:rPr>
          <w:rFonts w:hint="eastAsia" w:ascii="仿宋_GB2312" w:hAnsi="华文楷体" w:eastAsia="仿宋_GB2312"/>
          <w:b/>
          <w:sz w:val="32"/>
          <w:szCs w:val="32"/>
        </w:rPr>
        <w:t>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10872</w:t>
      </w:r>
      <w:r>
        <w:rPr>
          <w:rFonts w:hint="eastAsia" w:ascii="仿宋_GB2312" w:hAnsi="华文楷体" w:eastAsia="仿宋_GB2312"/>
          <w:sz w:val="32"/>
          <w:szCs w:val="32"/>
        </w:rPr>
        <w:t>万元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sz w:val="32"/>
          <w:szCs w:val="32"/>
        </w:rPr>
        <w:t>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减少17373</w:t>
      </w:r>
      <w:r>
        <w:rPr>
          <w:rFonts w:hint="eastAsia" w:ascii="仿宋_GB2312" w:hAnsi="华文楷体" w:eastAsia="仿宋_GB2312"/>
          <w:sz w:val="32"/>
          <w:szCs w:val="32"/>
        </w:rPr>
        <w:t>万元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减少62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债务付息支出</w:t>
      </w:r>
      <w:r>
        <w:rPr>
          <w:rFonts w:hint="eastAsia" w:ascii="仿宋_GB2312" w:hAnsi="华文楷体" w:eastAsia="仿宋_GB2312"/>
          <w:spacing w:val="-12"/>
          <w:sz w:val="32"/>
          <w:szCs w:val="32"/>
          <w:lang w:val="en-US" w:eastAsia="zh-CN"/>
        </w:rPr>
        <w:t>7257</w:t>
      </w:r>
      <w:r>
        <w:rPr>
          <w:rFonts w:hint="eastAsia" w:ascii="仿宋_GB2312" w:hAnsi="华文楷体" w:eastAsia="仿宋_GB2312"/>
          <w:spacing w:val="-12"/>
          <w:sz w:val="32"/>
          <w:szCs w:val="32"/>
        </w:rPr>
        <w:t>万元</w:t>
      </w:r>
      <w:r>
        <w:rPr>
          <w:rFonts w:hint="eastAsia" w:ascii="仿宋_GB2312" w:hAnsi="华文楷体" w:eastAsia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sz w:val="32"/>
          <w:szCs w:val="32"/>
        </w:rPr>
        <w:t>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减少28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减少0.4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b/>
          <w:bCs/>
          <w:sz w:val="32"/>
          <w:szCs w:val="32"/>
        </w:rPr>
        <w:t>债务发</w:t>
      </w:r>
      <w:r>
        <w:rPr>
          <w:rFonts w:hint="eastAsia" w:ascii="仿宋_GB2312" w:hAnsi="华文楷体" w:eastAsia="仿宋_GB2312"/>
          <w:b/>
          <w:bCs/>
          <w:sz w:val="32"/>
          <w:szCs w:val="32"/>
          <w:lang w:val="en-US" w:eastAsia="zh-CN"/>
        </w:rPr>
        <w:t>行</w:t>
      </w:r>
      <w:r>
        <w:rPr>
          <w:rFonts w:hint="eastAsia" w:ascii="仿宋_GB2312" w:hAnsi="华文楷体" w:eastAsia="仿宋_GB2312"/>
          <w:b/>
          <w:bCs/>
          <w:sz w:val="32"/>
          <w:szCs w:val="32"/>
        </w:rPr>
        <w:t>费用支出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楷体" w:eastAsia="仿宋_GB2312"/>
          <w:sz w:val="32"/>
          <w:szCs w:val="32"/>
        </w:rPr>
        <w:t>万元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sz w:val="32"/>
          <w:szCs w:val="32"/>
        </w:rPr>
        <w:t>比上年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减少10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减少50</w:t>
      </w:r>
      <w:r>
        <w:rPr>
          <w:rFonts w:hint="eastAsia" w:ascii="仿宋_GB2312" w:hAnsi="华文楷体" w:eastAsia="仿宋_GB2312"/>
          <w:sz w:val="32"/>
          <w:szCs w:val="32"/>
        </w:rPr>
        <w:t>%。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43180</wp:posOffset>
                </wp:positionV>
                <wp:extent cx="6591300" cy="7305040"/>
                <wp:effectExtent l="5080" t="4445" r="1397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3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85pt;margin-top:3.4pt;height:575.2pt;width:519pt;z-index:251659264;mso-width-relative:page;mso-height-relative:page;" fillcolor="#FFFFFF" filled="t" stroked="t" coordsize="21600,21600" o:gfxdata="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886AtkAAAAKAQAADwAAAAAAAAABACAAAAAi&#10;AAAAZHJzL2Rvd25yZXYueG1sUEsBAhQAFAAAAAgAh07iQPW3Wc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spacing w:line="560" w:lineRule="atLeast"/>
        <w:ind w:firstLine="1915" w:firstLineChars="596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东乡县一般公共预算支出分科目比重图</w:t>
      </w:r>
    </w:p>
    <w:p/>
    <w:p>
      <w:bookmarkStart w:id="0" w:name="_GoBack"/>
      <w:r>
        <w:drawing>
          <wp:inline distT="0" distB="0" distL="114300" distR="114300">
            <wp:extent cx="5148580" cy="5118735"/>
            <wp:effectExtent l="4445" t="4445" r="9525" b="203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/>
    <w:p/>
    <w:p/>
    <w:p/>
    <w:p/>
    <w:p/>
    <w:p/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Q4Mzg0MmZmMWNiZDI4MmU3MTUyN2Q5YzZmOTYifQ=="/>
  </w:docVars>
  <w:rsids>
    <w:rsidRoot w:val="01F72C9C"/>
    <w:rsid w:val="01045172"/>
    <w:rsid w:val="01F72C9C"/>
    <w:rsid w:val="06A95833"/>
    <w:rsid w:val="07215B70"/>
    <w:rsid w:val="0FBA5E40"/>
    <w:rsid w:val="0FD146C5"/>
    <w:rsid w:val="111E2D84"/>
    <w:rsid w:val="14C8078D"/>
    <w:rsid w:val="16724241"/>
    <w:rsid w:val="1BCD48DA"/>
    <w:rsid w:val="221128E6"/>
    <w:rsid w:val="233F7EEC"/>
    <w:rsid w:val="25574DD8"/>
    <w:rsid w:val="27110362"/>
    <w:rsid w:val="28B5297E"/>
    <w:rsid w:val="2CEA1665"/>
    <w:rsid w:val="379703A5"/>
    <w:rsid w:val="398812F6"/>
    <w:rsid w:val="3A4D6EBA"/>
    <w:rsid w:val="45440D67"/>
    <w:rsid w:val="4C612370"/>
    <w:rsid w:val="550D3076"/>
    <w:rsid w:val="58F85DEC"/>
    <w:rsid w:val="5B7C6351"/>
    <w:rsid w:val="6B74654A"/>
    <w:rsid w:val="6E0F7117"/>
    <w:rsid w:val="6FC34F4E"/>
    <w:rsid w:val="7E3C1459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东乡县一般公共预算支出分科目比重图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7"/>
              <c:layout>
                <c:manualLayout>
                  <c:x val="0.00419338924518994"/>
                  <c:y val="0.012777571020965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398371978293044"/>
                  <c:y val="0.017119464086341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[工作簿3]Sheet1!$A$1:$A$20</c:f>
              <c:strCache>
                <c:ptCount val="20"/>
                <c:pt idx="0">
                  <c:v>一般公共服务支出</c:v>
                </c:pt>
                <c:pt idx="1">
                  <c:v>公共安全支出</c:v>
                </c:pt>
                <c:pt idx="2">
                  <c:v>教育支出</c:v>
                </c:pt>
                <c:pt idx="3">
                  <c:v>科学技术支出</c:v>
                </c:pt>
                <c:pt idx="4">
                  <c:v>文化旅游体育与传媒支出</c:v>
                </c:pt>
                <c:pt idx="5">
                  <c:v>社会保障和就业支出</c:v>
                </c:pt>
                <c:pt idx="6">
                  <c:v>卫生健康支出</c:v>
                </c:pt>
                <c:pt idx="7">
                  <c:v>节能环保支出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交通运输支出</c:v>
                </c:pt>
                <c:pt idx="11">
                  <c:v>资源勘探工业信息等支出</c:v>
                </c:pt>
                <c:pt idx="12">
                  <c:v>商业服务业等支出</c:v>
                </c:pt>
                <c:pt idx="13">
                  <c:v>金融支出</c:v>
                </c:pt>
                <c:pt idx="14">
                  <c:v>自然资源海洋气象等支出</c:v>
                </c:pt>
                <c:pt idx="15">
                  <c:v>住房保障支出</c:v>
                </c:pt>
                <c:pt idx="16">
                  <c:v>粮油物资储备支出</c:v>
                </c:pt>
                <c:pt idx="17">
                  <c:v>灾害防治及应急管理支出</c:v>
                </c:pt>
                <c:pt idx="18">
                  <c:v>债务付息支出</c:v>
                </c:pt>
                <c:pt idx="19">
                  <c:v>债务发行费用支出</c:v>
                </c:pt>
              </c:strCache>
            </c:strRef>
          </c:cat>
          <c:val>
            <c:numRef>
              <c:f>[工作簿3]Sheet1!$B$1:$B$20</c:f>
              <c:numCache>
                <c:formatCode>0_ </c:formatCode>
                <c:ptCount val="20"/>
                <c:pt idx="0">
                  <c:v>50354</c:v>
                </c:pt>
                <c:pt idx="1">
                  <c:v>8585</c:v>
                </c:pt>
                <c:pt idx="2">
                  <c:v>73157</c:v>
                </c:pt>
                <c:pt idx="3">
                  <c:v>3635</c:v>
                </c:pt>
                <c:pt idx="4">
                  <c:v>4114</c:v>
                </c:pt>
                <c:pt idx="5">
                  <c:v>71354</c:v>
                </c:pt>
                <c:pt idx="6">
                  <c:v>27827</c:v>
                </c:pt>
                <c:pt idx="7">
                  <c:v>7610</c:v>
                </c:pt>
                <c:pt idx="8">
                  <c:v>6672</c:v>
                </c:pt>
                <c:pt idx="9">
                  <c:v>163088</c:v>
                </c:pt>
                <c:pt idx="10">
                  <c:v>10602</c:v>
                </c:pt>
                <c:pt idx="11">
                  <c:v>1449</c:v>
                </c:pt>
                <c:pt idx="12">
                  <c:v>670</c:v>
                </c:pt>
                <c:pt idx="13">
                  <c:v>10</c:v>
                </c:pt>
                <c:pt idx="14">
                  <c:v>3371</c:v>
                </c:pt>
                <c:pt idx="15">
                  <c:v>20578</c:v>
                </c:pt>
                <c:pt idx="16">
                  <c:v>699</c:v>
                </c:pt>
                <c:pt idx="17">
                  <c:v>10872</c:v>
                </c:pt>
                <c:pt idx="18">
                  <c:v>7257</c:v>
                </c:pt>
                <c:pt idx="19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890</Characters>
  <Lines>0</Lines>
  <Paragraphs>0</Paragraphs>
  <TotalTime>1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2023-08-22T03:22:00Z</dcterms:created>
  <dc:creator>Xiang xiang</dc:creator>
  <cp:lastModifiedBy>Administrator</cp:lastModifiedBy>
  <dcterms:modified xsi:type="dcterms:W3CDTF">2024-09-06T03:08:26Z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876534D6480E4832ABE5423E0F3B28CC_13</vt:lpwstr>
  </property>
</Properties>
</file>