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甘肃省东乡族自治县供销合作社联合社</w:t>
      </w: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2024年单位预算公开情况说明 </w:t>
      </w: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both"/>
        <w:rPr>
          <w:rFonts w:hint="eastAsia"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单位基本概况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一、单位职责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</w:t>
      </w:r>
      <w:r>
        <w:rPr>
          <w:rFonts w:hint="eastAsia" w:ascii="仿宋_GB2312" w:hAnsi="仿宋" w:eastAsia="仿宋_GB2312"/>
          <w:b/>
          <w:color w:val="000000"/>
          <w:sz w:val="30"/>
          <w:szCs w:val="30"/>
          <w:lang w:val="en-US" w:eastAsia="zh-CN"/>
        </w:rPr>
        <w:t>单位</w:t>
      </w: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十一、部门管理转移支付表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十二、国有资本经营预算支出情况表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十三、单位整体支出绩效目标表和项目支出绩效目标表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一、单位职责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一）宣传贯彻国家及省、州、县的方针政策和法律法规，拟订全县供销合作社发展战略规划，积极组织和发展各种类型的专业合作社，指导全县发展专业合作社、消费合作社及涉农行业协会建设和改革与发展，协调社员之间、各种类型的合作经济组织之间关系，发挥行业内协会的指导、协调、督促和服务功能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按照授权对重要农业生产资料和农副产品等经营进行协调管理；指导全县供销合作社系统化肥农药储备和供应工作，加强农资储备和供应；加强对全县供销社企业烟花爆竹经营活动的管理；组织实施有关重要救灾物资的调拨供应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（三）指导和推动全县农村合作经济组织发展；推动和促进合作经济的发展。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（四）指导全县供销合作社基层组织建设，密切同农民的联系，协调社员之间的关系，发挥群体联合优势。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五）加强组织创新和经营创新，组织实施农村现代流通网络建设和综合服务体系建设，促进城乡经济社会协调发展；兴办各类农副产品批发市场，培育农产品加工龙头企业；领办农业开发项目和扶贫项目；参与和推动农业产业化经营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（六）监督、管理和运营本级社有资产，对直属企业依法行使出资人职能，享有出资人权益。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（七）根据县政府授权，承担有关重要农产品或农资商品市场管理的牵头单位职能，并协调供销社系统与其他部门的关系；维护各级供销社的合法权益。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（八）承办县人民政府和上级供销合作社交办的其他事项。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eastAsia="zh-CN"/>
        </w:rPr>
        <w:t>内设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6个职能股室：人秘股、业务股、财计股、审计股、乡镇供销社管理股、纪检监察室。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（二）参照公务员法管理单位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无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342.65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所有收入和支出均纳入部门预算管理。收入包括：一般公共预算拨款收入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上年结转收入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；支出包括：一般公共服务支出、社会保障和就业支出、卫生健康支出、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农林水支出、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商业服务业等支出、住房保障支出。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2024年收入预算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342.65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其中：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342.65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政府性基金预算收入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上年结转收入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%；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2024年支出预算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342.65</w:t>
      </w:r>
      <w:r>
        <w:rPr>
          <w:rFonts w:hint="eastAsia" w:ascii="仿宋_GB2312" w:hAnsi="仿宋" w:eastAsia="仿宋_GB2312"/>
          <w:sz w:val="32"/>
          <w:szCs w:val="32"/>
        </w:rPr>
        <w:t>万元（详见单位预算公开表3）。</w:t>
      </w:r>
      <w:r>
        <w:rPr>
          <w:rStyle w:val="20"/>
          <w:rFonts w:hint="default" w:hAnsi="仿宋"/>
        </w:rPr>
        <w:t>其中：基本支出</w:t>
      </w:r>
      <w:r>
        <w:rPr>
          <w:rStyle w:val="21"/>
          <w:rFonts w:hint="eastAsia" w:ascii="仿宋_GB2312" w:hAnsi="仿宋" w:eastAsia="仿宋_GB2312"/>
        </w:rPr>
        <w:t>324.65</w:t>
      </w:r>
      <w:r>
        <w:rPr>
          <w:rStyle w:val="20"/>
          <w:rFonts w:hint="default" w:hAnsi="仿宋"/>
        </w:rPr>
        <w:t>万元，占</w:t>
      </w:r>
      <w:r>
        <w:rPr>
          <w:rStyle w:val="20"/>
          <w:rFonts w:hint="eastAsia" w:hAnsi="仿宋" w:eastAsia="仿宋_GB2312"/>
          <w:lang w:val="en-US" w:eastAsia="zh-CN"/>
        </w:rPr>
        <w:t>95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 项目支出</w:t>
      </w:r>
      <w:r>
        <w:rPr>
          <w:rStyle w:val="20"/>
          <w:rFonts w:hint="eastAsia" w:hAnsi="仿宋" w:eastAsia="仿宋_GB2312"/>
          <w:lang w:val="en-US" w:eastAsia="zh-CN"/>
        </w:rPr>
        <w:t>18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  <w:lang w:val="en-US" w:eastAsia="zh-CN"/>
        </w:rPr>
        <w:t>5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； 上年结转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>%</w:t>
      </w:r>
      <w:r>
        <w:rPr>
          <w:rStyle w:val="20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1"/>
          <w:rFonts w:hint="eastAsia" w:ascii="仿宋_GB2312" w:hAnsi="仿宋" w:eastAsia="仿宋_GB2312"/>
        </w:rPr>
        <w:t xml:space="preserve">2024 </w:t>
      </w:r>
      <w:r>
        <w:rPr>
          <w:rStyle w:val="20"/>
          <w:rFonts w:hint="default" w:hAnsi="仿宋"/>
        </w:rPr>
        <w:t>年一般公共预算当年支出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342.65</w:t>
      </w:r>
      <w:r>
        <w:rPr>
          <w:rStyle w:val="20"/>
          <w:rFonts w:hint="default" w:hAnsi="仿宋"/>
        </w:rPr>
        <w:t>万元，包括：一般公共服务支出</w:t>
      </w:r>
      <w:r>
        <w:rPr>
          <w:rStyle w:val="21"/>
          <w:rFonts w:hint="eastAsia" w:ascii="仿宋_GB2312" w:hAnsi="仿宋" w:eastAsia="仿宋_GB2312"/>
        </w:rPr>
        <w:t>3.68</w:t>
      </w:r>
      <w:r>
        <w:rPr>
          <w:rStyle w:val="20"/>
          <w:rFonts w:hint="default" w:hAnsi="仿宋"/>
        </w:rPr>
        <w:t>万元、社会保障和就业支出</w:t>
      </w:r>
      <w:r>
        <w:rPr>
          <w:rStyle w:val="21"/>
          <w:rFonts w:hint="eastAsia" w:ascii="仿宋_GB2312" w:hAnsi="仿宋" w:eastAsia="仿宋_GB2312"/>
          <w:lang w:val="en-US" w:eastAsia="zh-CN"/>
        </w:rPr>
        <w:t>30.41</w:t>
      </w:r>
      <w:r>
        <w:rPr>
          <w:rStyle w:val="20"/>
          <w:rFonts w:hint="default" w:hAnsi="仿宋"/>
        </w:rPr>
        <w:t>万元、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16.31</w:t>
      </w:r>
      <w:r>
        <w:rPr>
          <w:rStyle w:val="20"/>
          <w:rFonts w:hint="default" w:hAnsi="仿宋"/>
        </w:rPr>
        <w:t>万元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商业服务业等支出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269.73</w:t>
      </w:r>
      <w:r>
        <w:rPr>
          <w:rStyle w:val="20"/>
          <w:rFonts w:hint="default" w:hAnsi="仿宋"/>
        </w:rPr>
        <w:t>万元</w:t>
      </w:r>
      <w:r>
        <w:rPr>
          <w:rStyle w:val="20"/>
          <w:rFonts w:hint="eastAsia" w:hAnsi="仿宋" w:eastAsia="仿宋_GB2312"/>
          <w:lang w:eastAsia="zh-CN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22.52万元。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2024年基本支出</w:t>
      </w:r>
      <w:r>
        <w:rPr>
          <w:rStyle w:val="21"/>
          <w:rFonts w:hint="eastAsia" w:ascii="仿宋_GB2312" w:hAnsi="仿宋" w:eastAsia="仿宋_GB2312"/>
        </w:rPr>
        <w:t>324.65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16.79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人员经费增加。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其中：人员经费支出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295.67</w:t>
      </w:r>
      <w:r>
        <w:rPr>
          <w:rFonts w:hint="eastAsia" w:ascii="仿宋_GB2312" w:hAnsi="仿宋" w:eastAsia="仿宋_GB2312"/>
          <w:sz w:val="32"/>
          <w:szCs w:val="32"/>
        </w:rPr>
        <w:t>万元，主要包括：基本工资、津贴补贴、奖金、机关事业单位基本养老保险缴费、职工基本医疗保险缴费、公务员医疗补助缴费、其他社会保障缴费、住房公积金。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公用经费支出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28.98</w:t>
      </w:r>
      <w:r>
        <w:rPr>
          <w:rFonts w:hint="eastAsia" w:ascii="仿宋_GB2312" w:hAnsi="仿宋" w:eastAsia="仿宋_GB2312"/>
          <w:sz w:val="32"/>
          <w:szCs w:val="32"/>
        </w:rPr>
        <w:t>万元，主要包括：办公费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水费、电费、邮电费、差旅费、租赁费、劳务费、工会经费、福利费、其他交通费用。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2024年一般公共预算财政拨款项目支出预算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</w:rPr>
        <w:t>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经济社会发展项目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，主要是农资调运贴息项目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保障运转经费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个，主要是供销社综合改革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项目和取暖费项目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其他项目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一般公共服务（类）群众团体事务（款）工会事务（项）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3.68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0.25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人员工资增加，工会经费相应增加。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2.社会保障和就业支出（类）行政事业单位养老支出（款）机关事业单位基本养老保险缴费支出（项））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30.03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1.55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人员工资增加，养老保险费相应增加。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财政对其他社会保险基金的补助</w:t>
      </w:r>
      <w:r>
        <w:rPr>
          <w:rFonts w:hint="eastAsia" w:ascii="仿宋_GB2312" w:eastAsia="仿宋_GB2312"/>
          <w:color w:val="000000"/>
          <w:sz w:val="32"/>
          <w:szCs w:val="32"/>
        </w:rPr>
        <w:t>（款）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财政对工伤保险基金的补助</w:t>
      </w:r>
      <w:r>
        <w:rPr>
          <w:rFonts w:hint="eastAsia" w:ascii="仿宋_GB2312" w:eastAsia="仿宋_GB2312"/>
          <w:color w:val="000000"/>
          <w:sz w:val="32"/>
          <w:szCs w:val="32"/>
        </w:rPr>
        <w:t>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0.38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0.03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人员工资增加，工伤保险相应增加。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卫生健康支出</w:t>
      </w:r>
      <w:r>
        <w:rPr>
          <w:rFonts w:hint="eastAsia" w:ascii="仿宋_GB2312" w:eastAsia="仿宋_GB2312"/>
          <w:color w:val="000000"/>
          <w:sz w:val="32"/>
          <w:szCs w:val="32"/>
        </w:rPr>
        <w:t>（类）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财政对基本医疗保险基金的补助</w:t>
      </w:r>
      <w:r>
        <w:rPr>
          <w:rFonts w:hint="eastAsia" w:ascii="仿宋_GB2312" w:eastAsia="仿宋_GB2312"/>
          <w:color w:val="000000"/>
          <w:sz w:val="32"/>
          <w:szCs w:val="32"/>
        </w:rPr>
        <w:t>（款）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财政对职工基本医疗保险基金的补助</w:t>
      </w:r>
      <w:r>
        <w:rPr>
          <w:rFonts w:hint="eastAsia" w:ascii="仿宋_GB2312" w:eastAsia="仿宋_GB2312"/>
          <w:color w:val="000000"/>
          <w:sz w:val="32"/>
          <w:szCs w:val="32"/>
        </w:rPr>
        <w:t>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16.31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4.61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人员工资增加，医疗保险相应增加。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4.商业服务业等支出</w:t>
      </w:r>
      <w:r>
        <w:rPr>
          <w:rFonts w:hint="eastAsia" w:ascii="仿宋_GB2312" w:eastAsia="仿宋_GB2312"/>
          <w:color w:val="000000"/>
          <w:sz w:val="32"/>
          <w:szCs w:val="32"/>
        </w:rPr>
        <w:t>（类）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商业流通事务</w:t>
      </w:r>
      <w:r>
        <w:rPr>
          <w:rFonts w:hint="eastAsia" w:ascii="仿宋_GB2312" w:eastAsia="仿宋_GB2312"/>
          <w:color w:val="000000"/>
          <w:sz w:val="32"/>
          <w:szCs w:val="32"/>
        </w:rPr>
        <w:t>（款）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行政运行</w:t>
      </w:r>
      <w:r>
        <w:rPr>
          <w:rFonts w:hint="eastAsia" w:ascii="仿宋_GB2312" w:eastAsia="仿宋_GB2312"/>
          <w:color w:val="000000"/>
          <w:sz w:val="32"/>
          <w:szCs w:val="32"/>
        </w:rPr>
        <w:t>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269.73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14.35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5.住房保障支出</w:t>
      </w:r>
      <w:r>
        <w:rPr>
          <w:rFonts w:hint="eastAsia" w:ascii="仿宋_GB2312" w:eastAsia="仿宋_GB2312"/>
          <w:color w:val="000000"/>
          <w:sz w:val="32"/>
          <w:szCs w:val="32"/>
        </w:rPr>
        <w:t>（类）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住房改革支出</w:t>
      </w:r>
      <w:r>
        <w:rPr>
          <w:rFonts w:hint="eastAsia" w:ascii="仿宋_GB2312" w:eastAsia="仿宋_GB2312"/>
          <w:color w:val="000000"/>
          <w:sz w:val="32"/>
          <w:szCs w:val="32"/>
        </w:rPr>
        <w:t>（款）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住房公积金</w:t>
      </w:r>
      <w:r>
        <w:rPr>
          <w:rFonts w:hint="eastAsia" w:ascii="仿宋_GB2312" w:eastAsia="仿宋_GB2312"/>
          <w:color w:val="000000"/>
          <w:sz w:val="32"/>
          <w:szCs w:val="32"/>
        </w:rPr>
        <w:t>（项）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2024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  <w:lang w:val="en-US" w:eastAsia="zh-CN"/>
        </w:rPr>
        <w:t>22.52</w:t>
      </w:r>
      <w:r>
        <w:rPr>
          <w:rFonts w:hint="eastAsia" w:ascii="仿宋_GB2312" w:eastAsia="仿宋_GB2312"/>
          <w:color w:val="000000"/>
          <w:sz w:val="32"/>
          <w:szCs w:val="32"/>
        </w:rPr>
        <w:t>万元，比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</w:rPr>
        <w:t>年预算增加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1.61</w:t>
      </w:r>
      <w:r>
        <w:rPr>
          <w:rFonts w:hint="eastAsia" w:ascii="仿宋_GB2312" w:eastAsia="仿宋_GB2312"/>
          <w:color w:val="000000"/>
          <w:sz w:val="32"/>
          <w:szCs w:val="32"/>
        </w:rPr>
        <w:t>万元，主要原因是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人员工资增加，公积金相应增加。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五、单位一般公共预算财政拨款“三公”经费、培训费、会议费等情况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“三公”经费预算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1.因公出国（境）费用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2.公务接待费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3.公务用车购置及运行维护费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万元（其中：公务用车购置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万元），较2023年预算增加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12.32</w:t>
      </w:r>
      <w:r>
        <w:rPr>
          <w:rFonts w:hint="eastAsia" w:ascii="仿宋_GB2312" w:hAnsi="仿宋" w:eastAsia="仿宋_GB2312"/>
          <w:sz w:val="32"/>
          <w:szCs w:val="32"/>
        </w:rPr>
        <w:t>万元，较2023年预算减少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14.51</w:t>
      </w:r>
      <w:r>
        <w:rPr>
          <w:rFonts w:hint="eastAsia" w:ascii="仿宋_GB2312" w:hAnsi="仿宋" w:eastAsia="仿宋_GB2312"/>
          <w:sz w:val="32"/>
          <w:szCs w:val="32"/>
        </w:rPr>
        <w:t>万元，增长下降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" w:eastAsia="仿宋_GB2312"/>
          <w:sz w:val="32"/>
          <w:szCs w:val="32"/>
        </w:rPr>
        <w:t>%，下降的主要原因是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其他交通费减少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2024年，单位政府采购预算总额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2.28</w:t>
      </w:r>
      <w:r>
        <w:rPr>
          <w:rFonts w:hint="eastAsia" w:ascii="仿宋_GB2312" w:hAnsi="仿宋" w:eastAsia="仿宋_GB2312"/>
          <w:sz w:val="32"/>
          <w:szCs w:val="32"/>
        </w:rPr>
        <w:t>万元，其中：政府采购货物预算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2.28</w:t>
      </w:r>
      <w:r>
        <w:rPr>
          <w:rFonts w:hint="eastAsia" w:ascii="仿宋_GB2312" w:hAnsi="仿宋" w:eastAsia="仿宋_GB2312"/>
          <w:sz w:val="32"/>
          <w:szCs w:val="32"/>
        </w:rPr>
        <w:t>万元，政府采购工程预算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万元，政府采购服务预算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2024年，单位面向中小企业预留政府采购项目预算金额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2.28</w:t>
      </w:r>
      <w:r>
        <w:rPr>
          <w:rFonts w:hint="eastAsia" w:ascii="仿宋_GB2312" w:hAnsi="仿宋" w:eastAsia="仿宋_GB2312"/>
          <w:sz w:val="32"/>
          <w:szCs w:val="32"/>
        </w:rPr>
        <w:t>万元，小微企业预留政府采购项目预算金额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2.28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7.9739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万元。预算单位共有公务用车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辆，价值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万元。2024年拟采购固定资产约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未安排预算，政府性基金预算支出情况表为空表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本单位2024年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项目名称：农资调运贴息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1、项目概况：补贴农资供应单位的供需差额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2、立项依据：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财政预算安排。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3、实施主体：东乡族自治县供销合作社联合社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4、实施周期：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2024年1月1日-2024年12月31日。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5、实施计划：对农资供应单位的供需差额进行补贴，全县农户受益率达到60%以上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6、年度预算安排：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7、预期总体目标：对农资供应单位的供需差额进行补贴，全县农户受益率达到60%以上，达到农资供需市场的价格稳定。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（四）部门管理转移支付情况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未安排预算，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单位管理转移支付表为空表。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（五）国有资本经营预算支出情况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未安排预算，国有资本经营预算支出情况表为空表。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auto"/>
          <w:sz w:val="32"/>
          <w:szCs w:val="32"/>
        </w:rPr>
        <w:t>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整体支出和项目绩效目标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个，按规定随年度预算一并公开项目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auto"/>
          <w:sz w:val="32"/>
          <w:szCs w:val="32"/>
        </w:rPr>
        <w:t>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项目的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%。截至7月底，如期完成预算执行和绩效目标指标值的项目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%。“双监控”发现存在的问题和主要原因是：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部分指标设置过于简单，还需进一步细化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。开展1-9月绩效运行监控项目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个，占本单位项目的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%。截至10月底，如期完成预算执行和绩效目标指标值的项目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个，完成率为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%。“双监控”发现存在的问题和主要原因是：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部分指标设置过于简单，还需进一步细化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。绩效运行监控在部门内部通报整改情况：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部分指标设置过于简单，还需进一步细化，制定下一年绩效目标是将进一步细化指标设置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个，其中，单位整体支出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%。绩效自评结果随部门决算报送财政和随决算公开情况：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按要求进行了公开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万元，2024年度增加部门预算项目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个，增长率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%。同时对政策和项目资金管理作出调整的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甘肃省东乡族自治县供销合作社联合社</w:t>
      </w:r>
    </w:p>
    <w:p>
      <w:pPr>
        <w:adjustRightInd w:val="0"/>
        <w:snapToGrid w:val="0"/>
        <w:spacing w:line="640" w:lineRule="exact"/>
        <w:ind w:right="1120"/>
        <w:contextualSpacing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月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甘肃省东乡族自治县供销合作社联合社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 xml:space="preserve">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firstLine="1280" w:firstLineChars="4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甘肃省东乡族自治县供销合作社联合社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整体支出绩效目标表</w:t>
      </w:r>
    </w:p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TJhNmU0NmNkZjdhOGIxNzhlNzkyYjEwNjdhYWU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22A33D7"/>
    <w:rsid w:val="0258482B"/>
    <w:rsid w:val="02BB6778"/>
    <w:rsid w:val="063E464B"/>
    <w:rsid w:val="07E07FF3"/>
    <w:rsid w:val="0DCC3716"/>
    <w:rsid w:val="0ECA4D63"/>
    <w:rsid w:val="113741D2"/>
    <w:rsid w:val="12756AA4"/>
    <w:rsid w:val="15F43957"/>
    <w:rsid w:val="1D34261E"/>
    <w:rsid w:val="1E797ACA"/>
    <w:rsid w:val="26332CFB"/>
    <w:rsid w:val="28A11E8E"/>
    <w:rsid w:val="2B236408"/>
    <w:rsid w:val="2D2264C4"/>
    <w:rsid w:val="30E56FB1"/>
    <w:rsid w:val="311A41EC"/>
    <w:rsid w:val="33AD0970"/>
    <w:rsid w:val="378E305D"/>
    <w:rsid w:val="3EE66965"/>
    <w:rsid w:val="46826C09"/>
    <w:rsid w:val="47070831"/>
    <w:rsid w:val="513A3737"/>
    <w:rsid w:val="527E074E"/>
    <w:rsid w:val="536A5F90"/>
    <w:rsid w:val="53953B1A"/>
    <w:rsid w:val="579503FF"/>
    <w:rsid w:val="58B57910"/>
    <w:rsid w:val="58E8482A"/>
    <w:rsid w:val="5BE91A17"/>
    <w:rsid w:val="5D6D0B56"/>
    <w:rsid w:val="5EB3641E"/>
    <w:rsid w:val="5FAD21A3"/>
    <w:rsid w:val="60235E44"/>
    <w:rsid w:val="60535296"/>
    <w:rsid w:val="650009A5"/>
    <w:rsid w:val="656942F9"/>
    <w:rsid w:val="68DD3FAF"/>
    <w:rsid w:val="6F6B71EC"/>
    <w:rsid w:val="72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qFormat/>
    <w:uiPriority w:val="0"/>
    <w:rPr>
      <w:b/>
      <w:bCs/>
    </w:rPr>
  </w:style>
  <w:style w:type="character" w:styleId="10">
    <w:name w:val="line number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uiPriority w:val="0"/>
    <w:rPr>
      <w:sz w:val="18"/>
      <w:szCs w:val="18"/>
    </w:rPr>
  </w:style>
  <w:style w:type="character" w:customStyle="1" w:styleId="13">
    <w:name w:val="页眉 Char"/>
    <w:link w:val="6"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15</TotalTime>
  <ScaleCrop>false</ScaleCrop>
  <LinksUpToDate>false</LinksUpToDate>
  <CharactersWithSpaces>9630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lenovo</cp:lastModifiedBy>
  <cp:lastPrinted>2022-02-15T07:45:00Z</cp:lastPrinted>
  <dcterms:modified xsi:type="dcterms:W3CDTF">2024-04-27T05:28:53Z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4746AA2B63644A919A7677ADD6665D0C</vt:lpwstr>
  </property>
</Properties>
</file>