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东乡族自治县地震局</w:t>
      </w: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2024年单位预算公开情况说明 </w:t>
      </w:r>
    </w:p>
    <w:p>
      <w:pPr>
        <w:pStyle w:val="4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pStyle w:val="4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pStyle w:val="4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pStyle w:val="4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pStyle w:val="4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pStyle w:val="4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pStyle w:val="4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pStyle w:val="4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pStyle w:val="4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pStyle w:val="4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pStyle w:val="4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pStyle w:val="4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pStyle w:val="4"/>
        <w:rPr>
          <w:rFonts w:hint="eastAsia"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val="en-US" w:eastAsia="zh-CN"/>
        </w:rPr>
        <w:t>单位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2024年单位预算公开表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十一、部门管理转移支付表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十二、国有资本经营预算支出情况表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十三、单位整体支出绩效目标表和项目支出绩效目标表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一、单位职责</w:t>
      </w:r>
    </w:p>
    <w:p>
      <w:pPr>
        <w:keepNext w:val="0"/>
        <w:keepLines w:val="0"/>
        <w:widowControl/>
        <w:suppressLineNumbers w:val="0"/>
        <w:ind w:firstLine="680" w:firstLineChars="200"/>
        <w:jc w:val="left"/>
        <w:rPr>
          <w:rFonts w:hint="eastAsia" w:ascii="仿宋" w:hAnsi="仿宋" w:eastAsia="仿宋" w:cs="仿宋"/>
          <w:color w:val="auto"/>
          <w:kern w:val="0"/>
          <w:sz w:val="34"/>
          <w:szCs w:val="34"/>
          <w:highlight w:val="none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4"/>
          <w:szCs w:val="34"/>
          <w:highlight w:val="none"/>
          <w:lang w:val="en-US" w:eastAsia="zh-CN" w:bidi="ar"/>
        </w:rPr>
        <w:t>抗震设防审批、防震减灾知识的宣传、动物宏观观测异常情况.负责震情和灾情速报、震情</w:t>
      </w:r>
      <w:r>
        <w:rPr>
          <w:rFonts w:hint="eastAsia" w:ascii="仿宋" w:hAnsi="仿宋" w:eastAsia="仿宋" w:cs="仿宋"/>
          <w:color w:val="auto"/>
          <w:kern w:val="0"/>
          <w:sz w:val="34"/>
          <w:szCs w:val="34"/>
          <w:highlight w:val="none"/>
          <w:lang w:val="en-US" w:eastAsia="zh-CN" w:bidi="ar"/>
        </w:rPr>
        <w:t>考察等工作。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spacing w:line="600" w:lineRule="exact"/>
        <w:ind w:firstLine="680" w:firstLineChars="200"/>
        <w:rPr>
          <w:rFonts w:ascii="仿宋" w:hAnsi="仿宋" w:eastAsia="仿宋" w:cs="仿宋"/>
          <w:color w:val="auto"/>
          <w:kern w:val="0"/>
          <w:sz w:val="34"/>
          <w:szCs w:val="34"/>
          <w:highlight w:val="none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4"/>
          <w:szCs w:val="34"/>
          <w:highlight w:val="none"/>
          <w:lang w:val="en-US" w:eastAsia="zh-CN" w:bidi="ar"/>
        </w:rPr>
        <w:t>人秘股、监测预报室。震灾预防股.安评所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三、单位收支总体情况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按照预算管理有关规定，2024年单位收支包括机关预算和直属单位预算在内的汇总情况。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2024年部门收支总预算274.57万元。按照综合预算的原则，单位所有收入和支出均纳入部门预算管理。收入包括：一般公共预算拨款收入274.57万元；支出包括：一般公共服务支出3.11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社会保障和就业支出25.7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、卫生健康支出13.6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、住房保障支出19.05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、灾害防治及应急管理支出21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274.57</w:t>
      </w:r>
      <w:r>
        <w:rPr>
          <w:rFonts w:hint="eastAsia" w:ascii="仿宋_GB2312" w:hAnsi="仿宋" w:eastAsia="仿宋_GB2312"/>
          <w:sz w:val="32"/>
          <w:szCs w:val="32"/>
        </w:rPr>
        <w:t>万元。一般公共预算收入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274.57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100.00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政府性基金预算收入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上年结转收入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6.6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274.57</w:t>
      </w:r>
      <w:r>
        <w:rPr>
          <w:rFonts w:hint="eastAsia" w:ascii="仿宋_GB2312" w:hAnsi="仿宋" w:eastAsia="仿宋_GB2312"/>
          <w:sz w:val="32"/>
          <w:szCs w:val="32"/>
        </w:rPr>
        <w:t>万元。</w:t>
      </w:r>
      <w:r>
        <w:rPr>
          <w:rStyle w:val="21"/>
          <w:rFonts w:hint="default" w:hAnsi="仿宋"/>
        </w:rPr>
        <w:t>其中：基本支出</w:t>
      </w:r>
      <w:r>
        <w:rPr>
          <w:rStyle w:val="22"/>
          <w:rFonts w:hint="eastAsia" w:ascii="仿宋_GB2312" w:hAnsi="仿宋" w:eastAsia="仿宋_GB2312"/>
        </w:rPr>
        <w:t>269.12</w:t>
      </w:r>
      <w:r>
        <w:rPr>
          <w:rStyle w:val="21"/>
          <w:rFonts w:hint="default" w:hAnsi="仿宋"/>
        </w:rPr>
        <w:t>万元， 占</w:t>
      </w:r>
      <w:r>
        <w:rPr>
          <w:rStyle w:val="21"/>
          <w:rFonts w:hint="eastAsia" w:hAnsi="仿宋" w:eastAsia="仿宋_GB2312"/>
          <w:lang w:val="en-US" w:eastAsia="zh-CN"/>
        </w:rPr>
        <w:t>98.18</w:t>
      </w:r>
      <w:r>
        <w:rPr>
          <w:rStyle w:val="22"/>
          <w:rFonts w:hint="eastAsia" w:ascii="仿宋_GB2312" w:hAnsi="仿宋" w:eastAsia="仿宋_GB2312"/>
        </w:rPr>
        <w:t>%</w:t>
      </w:r>
      <w:r>
        <w:rPr>
          <w:rStyle w:val="21"/>
          <w:rFonts w:hint="default" w:hAnsi="仿宋"/>
        </w:rPr>
        <w:t>； 项目支出5.45万元，占</w:t>
      </w:r>
      <w:r>
        <w:rPr>
          <w:rStyle w:val="22"/>
          <w:rFonts w:hint="eastAsia" w:ascii="仿宋_GB2312" w:hAnsi="仿宋" w:eastAsia="仿宋_GB2312"/>
          <w:lang w:val="en-US" w:eastAsia="zh-CN"/>
        </w:rPr>
        <w:t>1.82</w:t>
      </w:r>
      <w:r>
        <w:rPr>
          <w:rStyle w:val="22"/>
          <w:rFonts w:hint="eastAsia" w:ascii="仿宋_GB2312" w:hAnsi="仿宋" w:eastAsia="仿宋_GB2312"/>
        </w:rPr>
        <w:t>%</w:t>
      </w:r>
      <w:r>
        <w:rPr>
          <w:rStyle w:val="21"/>
          <w:rFonts w:hint="default" w:hAnsi="仿宋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2"/>
          <w:rFonts w:hint="eastAsia" w:ascii="仿宋_GB2312" w:hAnsi="仿宋" w:eastAsia="仿宋_GB2312"/>
        </w:rPr>
        <w:t xml:space="preserve">2024 </w:t>
      </w:r>
      <w:r>
        <w:rPr>
          <w:rStyle w:val="21"/>
          <w:rFonts w:hint="default" w:hAnsi="仿宋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一般公共服务支出3.11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、社会保障和就业支出25.7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、卫生健康支出13.6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、住房保障支出19.051437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、灾害防治及应急管理支出21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万元</w:t>
      </w:r>
      <w:r>
        <w:rPr>
          <w:rStyle w:val="21"/>
          <w:rFonts w:hint="default" w:hAnsi="仿宋"/>
        </w:rPr>
        <w:t>。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</w:t>
      </w:r>
      <w:r>
        <w:rPr>
          <w:rStyle w:val="22"/>
          <w:rFonts w:hint="eastAsia" w:ascii="仿宋_GB2312" w:hAnsi="仿宋" w:eastAsia="仿宋_GB2312"/>
        </w:rPr>
        <w:t>269.12</w:t>
      </w:r>
      <w:r>
        <w:rPr>
          <w:rFonts w:hint="eastAsia" w:ascii="仿宋_GB2312" w:hAnsi="仿宋" w:eastAsia="仿宋_GB2312"/>
          <w:sz w:val="32"/>
          <w:szCs w:val="32"/>
        </w:rPr>
        <w:t>万元，比2023年预算增加6.14万元，增长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0.23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人员开支预算增加。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249.73万元，主要包括：基本工资、津贴补贴、奖金、绩效工资、机关事业单位基本养老保险缴费、职业年金缴费、职工基本医疗保险缴费、其他社会保障缴费、住房公积金、医疗费、生活补助等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公用经费支出19.3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万元，主要包括：印刷费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福利费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差旅费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邮电费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办公费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水费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电费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取暖费。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2024年一般公共预算财政拨款项目支出预算5.45万元，比2023年预算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无变化，</w:t>
      </w:r>
      <w:r>
        <w:rPr>
          <w:rFonts w:hint="eastAsia" w:ascii="仿宋_GB2312" w:hAnsi="仿宋" w:eastAsia="仿宋_GB2312"/>
          <w:sz w:val="32"/>
          <w:szCs w:val="32"/>
        </w:rPr>
        <w:t>主要包括：印刷费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办公费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取暖费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一般公共服务（类）群众团体事务（款）工会事务（项）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3.11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万元， 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年预算增加0.08万元，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人员工资增加比例提高。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2.社会保障和就业支出（类） 群众团体事务（款） 行政事业单位养老支出（项）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25.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万元， 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年预算增加0.5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人员工资增加比例提高。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财政对其他社会保险基金的补助（款） 财政对工伤保险基金的补助（项）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0.3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万元， 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年预算增加0.0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人员工资增加比例提高。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卫生健康支出（类）财政对基本医疗保险基金的补助（款） 财政对职工基本医疗保险基金的补助（项）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13.6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万元， 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年预算增加3.4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人员工资增加比例提高。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住房保障支出（类）住房保障支出（款） 住房保障支出（项）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19.05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万元， 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人员工资增加比例提高。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灾害防治及应急管理支出（类）地震事务（款） 行政运行（项）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21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万元， 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6.14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人员工资增加比例提高。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五、单位一般公共预算财政拨款“三公”经费、培训费、会议费等情况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1.因公出国（境）费用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2.公务接待费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3.公务用车购置及运行维护费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万元（其中：公务用车购置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万元，公务用车运行维护费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万元），较2023年预算增加（减少）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万元，增长（下降）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5.会议费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5.79</w:t>
      </w:r>
      <w:r>
        <w:rPr>
          <w:rFonts w:hint="eastAsia" w:ascii="仿宋_GB2312" w:hAnsi="仿宋" w:eastAsia="仿宋_GB2312"/>
          <w:sz w:val="32"/>
          <w:szCs w:val="32"/>
        </w:rPr>
        <w:t>万元，较2023年预算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减少6.63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减少29.57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</w:rPr>
        <w:t>的主要原因是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经费压减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2024年，单位政府采购预算总额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仿宋" w:eastAsia="仿宋_GB2312"/>
          <w:sz w:val="32"/>
          <w:szCs w:val="32"/>
        </w:rPr>
        <w:t>万元，其中：政府采购货物预算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仿宋" w:eastAsia="仿宋_GB2312"/>
          <w:sz w:val="32"/>
          <w:szCs w:val="32"/>
        </w:rPr>
        <w:t xml:space="preserve"> 万元，政府采购工程预算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万元，政府采购服务预算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2024年，单位面向中小企业预留政府采购项目预算金额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万元，小微企业预留政府采购项目预算金额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16.98</w:t>
      </w:r>
      <w:r>
        <w:rPr>
          <w:rFonts w:hint="eastAsia" w:ascii="仿宋_GB2312" w:hAnsi="仿宋" w:eastAsia="仿宋_GB2312"/>
          <w:sz w:val="32"/>
          <w:szCs w:val="32"/>
        </w:rPr>
        <w:t>万元。其中：办公用房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平方米，价值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 万元。预算单位共有公务用车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辆，价值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万元。单价20万元以上的设备价值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万元。2024年拟采购固定资产约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2024年使用政府性基金预算拨款安排支出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 万元，较2023年预算增加（减少）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万元，增长（下降）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1．交通运输支出（ 类） 民航发展基金支出（ 款） 民航安全（ 项）2024 年预算数为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万元，较2023 年预算减少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未安排预算，政府性基金预算支出情况表为空表。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2024年本单位涉及非税收入，2024年计划征收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万元。其中：中央（省级）批准设立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本位2024年</w:t>
      </w:r>
      <w:r>
        <w:rPr>
          <w:rFonts w:ascii="仿宋_GB2312" w:hAnsi="仿宋" w:eastAsia="仿宋_GB2312"/>
          <w:sz w:val="32"/>
          <w:szCs w:val="32"/>
        </w:rPr>
        <w:t>无非税收入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本单位年初预算安排项目支出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2个</w:t>
      </w:r>
      <w:r>
        <w:rPr>
          <w:rFonts w:hint="eastAsia" w:ascii="仿宋_GB2312" w:hAnsi="仿宋" w:eastAsia="仿宋_GB2312"/>
          <w:sz w:val="32"/>
          <w:szCs w:val="32"/>
        </w:rPr>
        <w:t>，无重点项目说明。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（四）部门管理转移支付情况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政府性基金转移支付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未安排预算，单位管理转移支付表为空表。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（五）国有资本经营预算支出情况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2024年使用国有资本经营预算拨款安排支出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万元，比2023年预算增加（减少）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 万元。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国有资本经营预算支出（ 类）解决历史遗留问题及改革成本支出（ 款）国有企业改革成本支出（项）2024 年预算数为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</w:p>
    <w:p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楷体" w:eastAsia="仿宋_GB2312"/>
          <w:sz w:val="32"/>
          <w:szCs w:val="32"/>
        </w:rPr>
        <w:t>未安排预算，国有资本经营预算支出情况表为空表。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个，按规定随年度预算一并公开项目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2023年7月，组织开展1-6月绩效运行监控项目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个，占本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项目的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%。截至7月底，如期完成预算执行和绩效目标指标值的项目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%。“双监控”发现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未发现问题。</w:t>
      </w:r>
      <w:r>
        <w:rPr>
          <w:rFonts w:hint="eastAsia" w:ascii="仿宋_GB2312" w:hAnsi="仿宋" w:eastAsia="仿宋_GB2312"/>
          <w:sz w:val="32"/>
          <w:szCs w:val="32"/>
        </w:rPr>
        <w:t>开展1-9月绩效运行监控项目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个，占本单位项目的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%。截至10月底，如期完成预算执行和绩效目标指标值的项目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hint="default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2023年度，组织开展绩效自评项目共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个，其中，单位整体支出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%。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2023</w:t>
      </w:r>
      <w:r>
        <w:rPr>
          <w:rFonts w:hint="default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年度我局绩效目标完成情况较好，部门整体支出绩效评价良好，还有不足，需要完善。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根据2023年度绩效运行监控、绩效自评等情况，当年盘活财政资金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万元，2024年度增加（减少）部门预算项目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个，增长率/压减率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%。同时对政策和项目资金管理作出调整的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2024年，纳入单位预算绩效目标管理的项目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个。其中，部门整体支出绩效目标围绕部门管理、履职效果、能力建设三个维度，设置二级指标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个；项目支出绩效目标围绕成本指标、产出指标、效益指标、满意度指标四个维度，设置二级指标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部门（单位）支出预算的组成部分，是各部门（单位）为完成其特定的行政任务或事业发展目标，在基本支出预算之外编制的年度项目支出计划。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东乡县地震局</w:t>
      </w: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      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 xml:space="preserve"> 月 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16日</w:t>
      </w: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tabs>
          <w:tab w:val="left" w:pos="1848"/>
        </w:tabs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甘肃省东乡族自治县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地震局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 xml:space="preserve"> 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adjustRightInd w:val="0"/>
        <w:snapToGrid w:val="0"/>
        <w:spacing w:line="640" w:lineRule="exact"/>
        <w:ind w:firstLine="1280" w:firstLineChars="4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甘肃省东乡族自治县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地震局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整体支出绩效目标表</w:t>
      </w:r>
    </w:p>
    <w:p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29CD6"/>
    <w:multiLevelType w:val="singleLevel"/>
    <w:tmpl w:val="96F29C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TJhNmU0NmNkZjdhOGIxNzhlNzkyYjEwNjdhYWU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17F15E1"/>
    <w:rsid w:val="0D474670"/>
    <w:rsid w:val="0E3E702D"/>
    <w:rsid w:val="113741D2"/>
    <w:rsid w:val="1D34261E"/>
    <w:rsid w:val="21A34291"/>
    <w:rsid w:val="26F70530"/>
    <w:rsid w:val="33ED44F5"/>
    <w:rsid w:val="3B6E70E8"/>
    <w:rsid w:val="527E074E"/>
    <w:rsid w:val="579503FF"/>
    <w:rsid w:val="5A0C53B5"/>
    <w:rsid w:val="5A122594"/>
    <w:rsid w:val="5C8F2AD0"/>
    <w:rsid w:val="60535296"/>
    <w:rsid w:val="671A04B3"/>
    <w:rsid w:val="6DD26927"/>
    <w:rsid w:val="720279B3"/>
    <w:rsid w:val="72FD2525"/>
    <w:rsid w:val="7D16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qFormat/>
    <w:uiPriority w:val="0"/>
    <w:rPr>
      <w:b/>
      <w:bCs/>
    </w:rPr>
  </w:style>
  <w:style w:type="character" w:styleId="11">
    <w:name w:val="line number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Char"/>
    <w:link w:val="6"/>
    <w:qFormat/>
    <w:uiPriority w:val="0"/>
    <w:rPr>
      <w:sz w:val="18"/>
      <w:szCs w:val="18"/>
    </w:rPr>
  </w:style>
  <w:style w:type="character" w:customStyle="1" w:styleId="14">
    <w:name w:val="页眉 Char"/>
    <w:link w:val="7"/>
    <w:qFormat/>
    <w:uiPriority w:val="0"/>
    <w:rPr>
      <w:sz w:val="18"/>
      <w:szCs w:val="18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7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8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批注文字 Char"/>
    <w:link w:val="3"/>
    <w:qFormat/>
    <w:uiPriority w:val="0"/>
    <w:rPr>
      <w:kern w:val="2"/>
      <w:sz w:val="21"/>
      <w:szCs w:val="22"/>
    </w:rPr>
  </w:style>
  <w:style w:type="character" w:customStyle="1" w:styleId="20">
    <w:name w:val="批注主题 Char"/>
    <w:link w:val="8"/>
    <w:qFormat/>
    <w:uiPriority w:val="0"/>
    <w:rPr>
      <w:b/>
      <w:bCs/>
      <w:kern w:val="2"/>
      <w:sz w:val="21"/>
      <w:szCs w:val="22"/>
    </w:rPr>
  </w:style>
  <w:style w:type="character" w:customStyle="1" w:styleId="2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0</TotalTime>
  <ScaleCrop>false</ScaleCrop>
  <LinksUpToDate>false</LinksUpToDate>
  <CharactersWithSpaces>9630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lenovo</cp:lastModifiedBy>
  <cp:lastPrinted>2022-02-15T07:45:00Z</cp:lastPrinted>
  <dcterms:modified xsi:type="dcterms:W3CDTF">2024-04-27T05:30:09Z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F06EEEDBDC2641BCB6D74B60C1328B11_13</vt:lpwstr>
  </property>
</Properties>
</file>