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东乡族自治县城市管理综合执法局</w:t>
      </w: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2024年单位预算公开情况说明 </w:t>
      </w: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 单位基本概况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2024年单位预算公开表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十一、部门管理转移支付表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十二、国有资本经营预算支出情况表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十三、单位整体支出绩效目标表和项目支出绩效目标表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一、单位职责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（一）宣传、贯彻国家及省有关法律、法规和规章，研究拟订有关市容环境卫生等地方规范性文件，制定城市容貌标准，并负责督促实施。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（二）行使县城市容和环境卫生管理方面法律、法规、规章规定的行政处罚权。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（三）行使城市绿化管理方面法律、法规、规章规定的行政处罚权。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(四）行使市政管理方面法律法规、规章规定的行政处罚权，负责市政设施的维护及维修。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（五）行使环境保护管理方面的法律、法规、规章规定的对下列违法行为的行政处罚权：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1、在人口集中地区焚烧有害烟尘和恶臭气体的物质的；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2、城市饮食服务业的经营者未采取有效污染防治措施，致使排放的油烟对附近居民环境造成污染的；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不按规定驻贮存、运输、处置城市生活垃圾的；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4、未按规定随意堆放、倾倒工业固体废物的；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5、施工单位不及时清运、处置建筑垃圾的，运输过程中泄露、遗撒固体废物的。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（六）行使公安交通管理方面法律、法规、规章规定的对侵占人行道和公共广场的行政处罚权。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（七）负责县城域建设性、经营性临时占道工程渣土、户外广告的管理工作。督促相关部门做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好拆迁现场和施工现场的文明施工管理；检查、督促全县城的门前“三包”工作。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（八）负责县城城区防汛排水工作。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</w:rPr>
        <w:t>（九）承办东乡县委县政府交办的其他事项。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办公室、市场管理股、市政设施维修股、环卫股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县城市容执法大队、达板执法中队、那勒寺执法中队、河滩执法中队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（二）参照公务员法管理单位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无。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（三）直属事业单位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无。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三、单位收支总体情况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按照预算管理有关规定，2024年单位收支包括机关预算和直属单位预算在内的汇总情况。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2024年部门收支总预算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3419.14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单位所有收入和支出均纳入部门预算管理。收入包括：一般公共预算拨款收入、政府性基金预算拨款收入、事业收入、事业单位经营收入、其他收入、使用非财政拨款结余、上年结转；支出包括：一般公共服务支出、公共安全支出、教育支出、科学技术支出、社会保障和就业支出、卫生健康支出、交通运输支出、住房保障支出、其他支出。</w:t>
      </w:r>
    </w:p>
    <w:p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3419.14</w:t>
      </w:r>
      <w:r>
        <w:rPr>
          <w:rFonts w:hint="eastAsia" w:ascii="仿宋_GB2312" w:hAnsi="仿宋" w:eastAsia="仿宋_GB2312"/>
          <w:sz w:val="32"/>
          <w:szCs w:val="32"/>
        </w:rPr>
        <w:t>万元（详见单位预算公开表1,2）。包括：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3419.14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政府性基金预算收入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上年结转收入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3419.14</w:t>
      </w:r>
      <w:r>
        <w:rPr>
          <w:rFonts w:hint="eastAsia" w:ascii="仿宋_GB2312" w:hAnsi="仿宋" w:eastAsia="仿宋_GB2312"/>
          <w:sz w:val="32"/>
          <w:szCs w:val="32"/>
        </w:rPr>
        <w:t>万元（详见单位预算公开表3）。</w:t>
      </w:r>
      <w:r>
        <w:rPr>
          <w:rStyle w:val="21"/>
          <w:rFonts w:hint="default" w:hAnsi="仿宋"/>
        </w:rPr>
        <w:t>其中：基本支出</w:t>
      </w:r>
      <w:r>
        <w:rPr>
          <w:rStyle w:val="22"/>
          <w:rFonts w:hint="eastAsia" w:ascii="仿宋_GB2312" w:hAnsi="仿宋" w:eastAsia="仿宋_GB2312"/>
          <w:lang w:val="en-US" w:eastAsia="zh-CN"/>
        </w:rPr>
        <w:t>1242.14</w:t>
      </w:r>
      <w:r>
        <w:rPr>
          <w:rStyle w:val="21"/>
          <w:rFonts w:hint="default" w:hAnsi="仿宋"/>
        </w:rPr>
        <w:t>万元，占</w:t>
      </w:r>
      <w:r>
        <w:rPr>
          <w:rStyle w:val="21"/>
          <w:rFonts w:hint="eastAsia" w:hAnsi="仿宋" w:eastAsia="仿宋_GB2312"/>
          <w:lang w:val="en-US" w:eastAsia="zh-CN"/>
        </w:rPr>
        <w:t>36.3</w:t>
      </w:r>
      <w:r>
        <w:rPr>
          <w:rStyle w:val="22"/>
          <w:rFonts w:hint="eastAsia" w:ascii="仿宋_GB2312" w:hAnsi="仿宋" w:eastAsia="仿宋_GB2312"/>
        </w:rPr>
        <w:t>%</w:t>
      </w:r>
      <w:r>
        <w:rPr>
          <w:rStyle w:val="21"/>
          <w:rFonts w:hint="default" w:hAnsi="仿宋"/>
        </w:rPr>
        <w:t>； 项目支出</w:t>
      </w:r>
      <w:r>
        <w:rPr>
          <w:rStyle w:val="21"/>
          <w:rFonts w:hint="eastAsia" w:hAnsi="仿宋" w:eastAsia="仿宋_GB2312"/>
          <w:lang w:val="en-US" w:eastAsia="zh-CN"/>
        </w:rPr>
        <w:t>2177</w:t>
      </w:r>
      <w:r>
        <w:rPr>
          <w:rStyle w:val="21"/>
          <w:rFonts w:hint="default" w:hAnsi="仿宋"/>
        </w:rPr>
        <w:t>万元，占</w:t>
      </w:r>
      <w:r>
        <w:rPr>
          <w:rStyle w:val="22"/>
          <w:rFonts w:hint="eastAsia" w:ascii="仿宋_GB2312" w:hAnsi="仿宋" w:eastAsia="仿宋_GB2312"/>
          <w:lang w:val="en-US" w:eastAsia="zh-CN"/>
        </w:rPr>
        <w:t>63.7</w:t>
      </w:r>
      <w:r>
        <w:rPr>
          <w:rStyle w:val="22"/>
          <w:rFonts w:hint="eastAsia" w:ascii="仿宋_GB2312" w:hAnsi="仿宋" w:eastAsia="仿宋_GB2312"/>
        </w:rPr>
        <w:t>%</w:t>
      </w:r>
      <w:r>
        <w:rPr>
          <w:rStyle w:val="21"/>
          <w:rFonts w:hint="default" w:hAnsi="仿宋"/>
        </w:rPr>
        <w:t>；上年结转</w:t>
      </w:r>
      <w:r>
        <w:rPr>
          <w:rStyle w:val="22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default" w:hAnsi="仿宋"/>
        </w:rPr>
        <w:t>万元，占</w:t>
      </w:r>
      <w:r>
        <w:rPr>
          <w:rStyle w:val="22"/>
          <w:rFonts w:hint="eastAsia" w:ascii="仿宋_GB2312" w:hAnsi="仿宋" w:eastAsia="仿宋_GB2312"/>
          <w:lang w:val="en-US" w:eastAsia="zh-CN"/>
        </w:rPr>
        <w:t>0</w:t>
      </w:r>
      <w:r>
        <w:rPr>
          <w:rStyle w:val="22"/>
          <w:rFonts w:hint="eastAsia" w:ascii="仿宋_GB2312" w:hAnsi="仿宋" w:eastAsia="仿宋_GB2312"/>
        </w:rPr>
        <w:t>%</w:t>
      </w:r>
      <w:r>
        <w:rPr>
          <w:rStyle w:val="21"/>
          <w:rFonts w:hint="default" w:hAnsi="仿宋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Style w:val="22"/>
          <w:rFonts w:hint="eastAsia" w:ascii="仿宋_GB2312" w:hAnsi="仿宋" w:eastAsia="仿宋_GB2312"/>
        </w:rPr>
        <w:t>2024</w:t>
      </w:r>
      <w:r>
        <w:rPr>
          <w:rStyle w:val="21"/>
          <w:rFonts w:hint="default" w:hAnsi="仿宋"/>
        </w:rPr>
        <w:t>年一般公共预算当年支出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3419.14</w:t>
      </w:r>
      <w:r>
        <w:rPr>
          <w:rStyle w:val="21"/>
          <w:rFonts w:hint="default" w:hAnsi="仿宋"/>
        </w:rPr>
        <w:t>万元，包括：一般公共服务支出</w:t>
      </w:r>
      <w:r>
        <w:rPr>
          <w:rStyle w:val="22"/>
          <w:rFonts w:hint="eastAsia" w:ascii="仿宋_GB2312" w:hAnsi="仿宋" w:eastAsia="仿宋_GB2312"/>
          <w:lang w:val="en-US" w:eastAsia="zh-CN"/>
        </w:rPr>
        <w:t>13.6</w:t>
      </w:r>
      <w:r>
        <w:rPr>
          <w:rStyle w:val="21"/>
          <w:rFonts w:hint="default" w:hAnsi="仿宋"/>
        </w:rPr>
        <w:t>万元、医疗卫生与计划生育支出</w:t>
      </w:r>
      <w:r>
        <w:rPr>
          <w:rStyle w:val="21"/>
          <w:rFonts w:hint="eastAsia" w:hAnsi="仿宋" w:eastAsia="仿宋_GB2312"/>
          <w:lang w:val="en-US" w:eastAsia="zh-CN"/>
        </w:rPr>
        <w:t>59.91万元、城乡社区支出3149.99万元、社</w:t>
      </w:r>
      <w:r>
        <w:rPr>
          <w:rStyle w:val="21"/>
          <w:rFonts w:hint="default" w:hAnsi="仿宋"/>
        </w:rPr>
        <w:t>会保障和就业支出</w:t>
      </w:r>
      <w:r>
        <w:rPr>
          <w:rStyle w:val="22"/>
          <w:rFonts w:hint="eastAsia" w:ascii="仿宋_GB2312" w:hAnsi="仿宋" w:eastAsia="仿宋_GB2312"/>
          <w:lang w:val="en-US" w:eastAsia="zh-CN"/>
        </w:rPr>
        <w:t>112.39</w:t>
      </w:r>
      <w:r>
        <w:rPr>
          <w:rStyle w:val="21"/>
          <w:rFonts w:hint="default" w:hAnsi="仿宋"/>
        </w:rPr>
        <w:t>万元、住房保障支出</w:t>
      </w:r>
      <w:r>
        <w:rPr>
          <w:rStyle w:val="21"/>
          <w:rFonts w:hint="eastAsia" w:hAnsi="仿宋" w:eastAsia="仿宋_GB2312"/>
          <w:lang w:val="en-US" w:eastAsia="zh-CN"/>
        </w:rPr>
        <w:t>83.25万元</w:t>
      </w:r>
      <w:r>
        <w:rPr>
          <w:rStyle w:val="21"/>
          <w:rFonts w:hint="default" w:hAnsi="仿宋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具体安排情况如下</w:t>
      </w:r>
      <w:r>
        <w:rPr>
          <w:rFonts w:hint="eastAsia" w:ascii="仿宋_GB2312" w:hAnsi="微软雅黑" w:eastAsia="仿宋_GB2312"/>
          <w:sz w:val="32"/>
          <w:szCs w:val="32"/>
        </w:rPr>
        <w:t>（详见单位预算公开表4,5,6,7）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widowControl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1242.14</w:t>
      </w:r>
      <w:r>
        <w:rPr>
          <w:rFonts w:hint="eastAsia" w:ascii="仿宋_GB2312" w:hAnsi="仿宋" w:eastAsia="仿宋_GB2312"/>
          <w:sz w:val="32"/>
          <w:szCs w:val="32"/>
        </w:rPr>
        <w:t>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175.81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16.5</w:t>
      </w:r>
      <w:r>
        <w:rPr>
          <w:rFonts w:hint="eastAsia" w:ascii="仿宋_GB2312" w:hAnsi="仿宋" w:eastAsia="仿宋_GB2312"/>
          <w:sz w:val="32"/>
          <w:szCs w:val="32"/>
        </w:rPr>
        <w:t>%，增长的主要原因是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增加了</w:t>
      </w:r>
      <w:r>
        <w:rPr>
          <w:rFonts w:hint="eastAsia" w:ascii="仿宋_GB2312" w:hAnsi="仿宋" w:eastAsia="仿宋_GB2312"/>
          <w:sz w:val="32"/>
          <w:szCs w:val="32"/>
        </w:rPr>
        <w:t>一般公共服务支出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及社会保障和就业支出等方面资金。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其中：人员经费支出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1091.41</w:t>
      </w:r>
      <w:r>
        <w:rPr>
          <w:rFonts w:hint="eastAsia" w:ascii="仿宋_GB2312" w:hAnsi="仿宋" w:eastAsia="仿宋_GB2312"/>
          <w:sz w:val="32"/>
          <w:szCs w:val="32"/>
        </w:rPr>
        <w:t>万元，主要包括：机关事业单位基本养老保险缴费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其他社会保障缴费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职工基本医疗保险缴费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公务员医疗补助缴费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奖金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津贴补贴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基本工资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住房公积金等。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公用经费支出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150.73</w:t>
      </w:r>
      <w:r>
        <w:rPr>
          <w:rFonts w:hint="eastAsia" w:ascii="仿宋_GB2312" w:hAnsi="仿宋" w:eastAsia="仿宋_GB2312"/>
          <w:sz w:val="32"/>
          <w:szCs w:val="32"/>
        </w:rPr>
        <w:t>万元，主要包括：工会经费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福利费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差旅费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邮电费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水费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办公费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电费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维修（护）费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印刷费等。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2024年一般公共预算财政拨款项目支出预算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2177</w:t>
      </w:r>
      <w:r>
        <w:rPr>
          <w:rFonts w:hint="eastAsia" w:ascii="仿宋_GB2312" w:hAnsi="仿宋" w:eastAsia="仿宋_GB2312"/>
          <w:sz w:val="32"/>
          <w:szCs w:val="32"/>
        </w:rPr>
        <w:t>万元，比2023年预算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增加708.4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增加48.2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</w:rPr>
        <w:t>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增加了</w:t>
      </w:r>
      <w:r>
        <w:rPr>
          <w:rFonts w:hint="eastAsia" w:ascii="仿宋_GB2312" w:hAnsi="仿宋" w:eastAsia="仿宋_GB2312"/>
          <w:sz w:val="32"/>
          <w:szCs w:val="32"/>
        </w:rPr>
        <w:t>城乡社区支出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方面的资金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一般公共服务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支出</w:t>
      </w:r>
      <w:r>
        <w:rPr>
          <w:rFonts w:hint="eastAsia" w:ascii="仿宋_GB2312" w:eastAsia="仿宋_GB2312"/>
          <w:color w:val="000000"/>
          <w:sz w:val="32"/>
          <w:szCs w:val="32"/>
        </w:rPr>
        <w:t>（类）群众团体事务（款）工会事务（项）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13.6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0.84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增加0.07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增加了工会事务资金。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2.社会保障和就业支出（类）行政事业单位养老支出（款）机关事业单位基本养老保险缴费支出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111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2.17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增加0.02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增加了</w:t>
      </w:r>
      <w:r>
        <w:rPr>
          <w:rFonts w:hint="eastAsia" w:ascii="仿宋_GB2312" w:eastAsia="仿宋_GB2312"/>
          <w:color w:val="000000"/>
          <w:sz w:val="32"/>
          <w:szCs w:val="32"/>
        </w:rPr>
        <w:t>机关事业单位基本养老保险缴费支出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资金；</w:t>
      </w:r>
      <w:r>
        <w:rPr>
          <w:rFonts w:hint="eastAsia" w:ascii="仿宋_GB2312" w:eastAsia="仿宋_GB2312"/>
          <w:color w:val="000000"/>
          <w:sz w:val="32"/>
          <w:szCs w:val="32"/>
        </w:rPr>
        <w:t>社会保障和就业支出（类）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财政对其他社会保险基金的补助</w:t>
      </w:r>
      <w:r>
        <w:rPr>
          <w:rFonts w:hint="eastAsia" w:ascii="仿宋_GB2312" w:eastAsia="仿宋_GB2312"/>
          <w:color w:val="000000"/>
          <w:sz w:val="32"/>
          <w:szCs w:val="32"/>
        </w:rPr>
        <w:t>（款）财政对工伤保险基金的补助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1.39万元，</w:t>
      </w:r>
      <w:r>
        <w:rPr>
          <w:rFonts w:hint="eastAsia" w:ascii="仿宋_GB2312" w:eastAsia="仿宋_GB2312"/>
          <w:color w:val="000000"/>
          <w:sz w:val="32"/>
          <w:szCs w:val="32"/>
        </w:rPr>
        <w:t>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0.09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增加0.07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增加了</w:t>
      </w:r>
      <w:r>
        <w:rPr>
          <w:rFonts w:hint="eastAsia" w:ascii="仿宋_GB2312" w:eastAsia="仿宋_GB2312"/>
          <w:color w:val="000000"/>
          <w:sz w:val="32"/>
          <w:szCs w:val="32"/>
        </w:rPr>
        <w:t>财政对工伤保险基金的补助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资金。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卫生健康支出（类）财政对基本医疗保险基金的补助（款）财政对职工基本医疗保险基金的补助（项）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59.91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16.81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增加0.39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增加了</w:t>
      </w:r>
      <w:r>
        <w:rPr>
          <w:rFonts w:hint="eastAsia" w:ascii="仿宋_GB2312" w:eastAsia="仿宋_GB2312"/>
          <w:color w:val="000000"/>
          <w:sz w:val="32"/>
          <w:szCs w:val="32"/>
        </w:rPr>
        <w:t>财政对职工基本医疗保险基金的补助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资金。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城乡社区支出（类）城乡社区管理事务（款）行政运行（项）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972.99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89.06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增加0.10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增加了</w:t>
      </w:r>
      <w:r>
        <w:rPr>
          <w:rFonts w:hint="eastAsia" w:ascii="仿宋_GB2312" w:eastAsia="仿宋_GB2312"/>
          <w:color w:val="000000"/>
          <w:sz w:val="32"/>
          <w:szCs w:val="32"/>
        </w:rPr>
        <w:t>行政运行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方面的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资金；</w:t>
      </w:r>
      <w:r>
        <w:rPr>
          <w:rFonts w:hint="eastAsia" w:ascii="仿宋_GB2312" w:eastAsia="仿宋_GB2312"/>
          <w:color w:val="000000"/>
          <w:sz w:val="32"/>
          <w:szCs w:val="32"/>
        </w:rPr>
        <w:t>城乡社区支出（类）城乡社区管理事务（款）城管执法（项）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2177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768.44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增加0.55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增加了</w:t>
      </w:r>
      <w:r>
        <w:rPr>
          <w:rFonts w:hint="eastAsia" w:ascii="仿宋_GB2312" w:eastAsia="仿宋_GB2312"/>
          <w:color w:val="000000"/>
          <w:sz w:val="32"/>
          <w:szCs w:val="32"/>
        </w:rPr>
        <w:t>城管执法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方面的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资金。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hAnsi="黑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住房保障支出（类）住房改革支出（款）住房公积金（项）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83.25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5.52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增加0.07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增加了</w:t>
      </w:r>
      <w:r>
        <w:rPr>
          <w:rFonts w:hint="eastAsia" w:ascii="仿宋_GB2312" w:eastAsia="仿宋_GB2312"/>
          <w:color w:val="000000"/>
          <w:sz w:val="32"/>
          <w:szCs w:val="32"/>
        </w:rPr>
        <w:t>住房公积金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方面的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资金。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五、单位一般公共预算财政拨款“三公”经费、培训费、会议费等情况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1.因公出国（境）费用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2.公务接待费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3.公务用车购置及运行维护费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万元（其中：公务用车购置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万元，公务用车运行维护费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万元），较2023年预算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4.培训费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5.会议费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2191.2</w:t>
      </w:r>
      <w:r>
        <w:rPr>
          <w:rFonts w:hint="eastAsia" w:ascii="仿宋_GB2312" w:hAnsi="仿宋" w:eastAsia="仿宋_GB2312"/>
          <w:sz w:val="32"/>
          <w:szCs w:val="32"/>
        </w:rPr>
        <w:t>万元，较2023年预算增加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722.6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49.2</w:t>
      </w:r>
      <w:r>
        <w:rPr>
          <w:rFonts w:hint="eastAsia" w:ascii="仿宋_GB2312" w:hAnsi="仿宋" w:eastAsia="仿宋_GB2312"/>
          <w:sz w:val="32"/>
          <w:szCs w:val="32"/>
        </w:rPr>
        <w:t xml:space="preserve"> %，增长的主要原因是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增加了维修（护）费及委托业务费方面的资金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2024年，单位政府采购预算总额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1407</w:t>
      </w:r>
      <w:r>
        <w:rPr>
          <w:rFonts w:hint="eastAsia" w:ascii="仿宋_GB2312" w:hAnsi="仿宋" w:eastAsia="仿宋_GB2312"/>
          <w:sz w:val="32"/>
          <w:szCs w:val="32"/>
        </w:rPr>
        <w:t>万元，其中：政府采购货物预算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万元，政府采购工程预算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万元，政府采购服务预算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1407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2024年，单位面向中小企业预留政府采购项目预算金额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万元，小微企业预留政府采购项目预算金额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4033.22</w:t>
      </w:r>
      <w:r>
        <w:rPr>
          <w:rFonts w:hint="eastAsia" w:ascii="仿宋_GB2312" w:hAnsi="仿宋" w:eastAsia="仿宋_GB2312"/>
          <w:sz w:val="32"/>
          <w:szCs w:val="32"/>
        </w:rPr>
        <w:t>万元。其中：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" w:eastAsia="仿宋_GB2312"/>
          <w:sz w:val="32"/>
          <w:szCs w:val="32"/>
        </w:rPr>
        <w:t>办公用房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属于借住在县卫健局办公楼</w:t>
      </w:r>
      <w:r>
        <w:rPr>
          <w:rFonts w:hint="eastAsia" w:ascii="仿宋_GB2312" w:hAnsi="仿宋" w:eastAsia="仿宋_GB2312"/>
          <w:sz w:val="32"/>
          <w:szCs w:val="32"/>
        </w:rPr>
        <w:t>。预算单位共有公务用车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辆，价值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万元。单价20万元以上的设备价值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167.6</w:t>
      </w:r>
      <w:r>
        <w:rPr>
          <w:rFonts w:hint="eastAsia" w:ascii="仿宋_GB2312" w:hAnsi="仿宋" w:eastAsia="仿宋_GB2312"/>
          <w:sz w:val="32"/>
          <w:szCs w:val="32"/>
        </w:rPr>
        <w:t>万元。2024年拟采购固定资产约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2024年使用政府性基金预算拨款安排支出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万元，未安排预算，政府性基金预算支出情况表为空表。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2024年本单位</w:t>
      </w:r>
      <w:r>
        <w:rPr>
          <w:rFonts w:ascii="仿宋_GB2312" w:hAnsi="仿宋" w:eastAsia="仿宋_GB2312"/>
          <w:sz w:val="32"/>
          <w:szCs w:val="32"/>
        </w:rPr>
        <w:t>无非税收入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_GB2312" w:hAnsi="仿宋" w:eastAsia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东乡族自治县城市管理综合执法局城乡环卫一体化运营服务项目。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1、项目概况：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乡县河滩镇、唐汪镇、达板镇全域保洁;果园镇、那勒寺镇、汪集镇镇区保洁及镇区住户生活垃圾清运，不包合村庄;龙泉镇负责域内213国道、镇集市、锁南至龙泉道路、锁南至汪集道路、锁南至关卜道路;折桥至王家隧道，共计68700米道路主路的清扫及道路两侧垃圾捡拾清运:黄河水库沿线12400米、洮河沿线20000米的河岸沿线生活垃圾捡拾及清运；达板镇沿洮河经济带周边路段沿线生活垃圾捡拾及清运;达三路沿线生活垃圾捡拾及清运;达板镇易地搬迁后续产业园区沿线生活垃圾捡拾及清运:河滩镇刘家峡大桥观景台至董岭路口沿线生活垃圾捡拾及清运；唐达路沿线生活垃圾捡拾及清运:安临公路坪庄连接段沿线生活垃圾捡拾及清运:东塬乡至拽湖桥沿线生活垃圾捡拾及清运；折红路沿线生活垃圾捡拾及清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8" w:lineRule="auto"/>
        <w:ind w:left="0" w:leftChars="0" w:right="0" w:rightChars="0"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2、立项依据：</w:t>
      </w: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22"/>
          <w:lang w:val="en-US" w:eastAsia="zh-CN" w:bidi="ar-SA"/>
        </w:rPr>
        <w:t>为全面加强城乡环境卫生管理工作，巩固城乡环境卫生综合整治成果，改善城乡居民生活环境，构建一流的城乡生活垃圾收运处置体系，推进城乡环卫一体化工作，结合我县实际，特制定如下实施方案。政府购买环境卫生公共服务即“政府花钱买服务”就是要转变原来的政府服务机制，政府的环卫职能部门把环卫工作推向市场，从具体事务中解脱出来，致力于考核和监管，提高市场化门槛，避免过去自己管自己，自己评判自己导致的职责不清，监管越位、错位，服务不到等弊端。实现了政府花最合理的钱，让百姓享受到最优质的服务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3、实施主体：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东乡县城管局。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4、实施周期：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服务期为三年。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5、实施计划：对负责管区内的主要道路、村内道路实现全天后保洁，达到“一洁、三无、四净”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6、年度预算安排：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2024年度安排预算资金1407万元。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7、预期总体目标：对负责管区内的主要道路、村内道路实现全天后保洁，达到“一洁、三无、四净”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对负责管区内的村庄乡道及居民四周可见范围内无垃圾等污物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对负责管区内的连村连社道路及河道沟渠做到全天候保洁，无垃圾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对负责管区内产生的生活垃圾及时收集、清运，达到无积存。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（四）部门管理转移支付情况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" w:eastAsia="仿宋_GB2312"/>
          <w:sz w:val="32"/>
          <w:szCs w:val="32"/>
        </w:rPr>
        <w:t>单位管理转移支付未安排预算，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" w:eastAsia="仿宋_GB2312"/>
          <w:sz w:val="32"/>
          <w:szCs w:val="32"/>
        </w:rPr>
        <w:t>单位管理转移支付表为空表。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（五）国有资本经营预算支出情况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楷体" w:eastAsia="仿宋_GB2312"/>
          <w:sz w:val="32"/>
          <w:szCs w:val="32"/>
        </w:rPr>
        <w:t>未安排预算，国有资本经营预算支出情况表为空表。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（一）2023年预算绩效管理工作情况。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2023年度，按照“谁申请资金，谁设置目标”的原则，纳入部门预算管理的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整体支出和项目绩效目标</w:t>
      </w:r>
      <w:r>
        <w:rPr>
          <w:rFonts w:hint="default" w:ascii="仿宋_GB2312" w:hAnsi="仿宋" w:eastAsia="仿宋_GB2312"/>
          <w:sz w:val="32"/>
          <w:szCs w:val="32"/>
          <w:lang w:val="en-US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 xml:space="preserve"> 个，按规定随年度预算一并公开项目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个，公开率为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2023年7月，组织开展1-6月绩效运行监控项目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个，占本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%。截至7月底，如期完成预算执行和绩效目标指标值的项目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%。“双监控”发现存在的问题和主要原因是：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通过评价发现部分产岀指标设定过于简单，指标设置还需进一步细化；工程项目进度缓慢；绩效管理人员的业务水平不高</w:t>
      </w:r>
      <w:r>
        <w:rPr>
          <w:rFonts w:hint="eastAsia" w:ascii="仿宋_GB2312" w:hAnsi="仿宋" w:eastAsia="仿宋_GB2312"/>
          <w:sz w:val="32"/>
          <w:szCs w:val="32"/>
        </w:rPr>
        <w:t>。开展1-9月绩效运行监控项目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个，占本单位项目的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%。截至10月底，如期完成预算执行和绩效目标指标值的项目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</w:t>
      </w: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“双监控”发现存在的问题和主要原因是：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通过评价发现部分产岀指标设定过于简单，指标设置还需进一步细化；工程项目进度缓慢；绩效管理人员的业务水平不高</w:t>
      </w:r>
      <w:r>
        <w:rPr>
          <w:rFonts w:hint="eastAsia" w:ascii="仿宋_GB2312" w:hAnsi="仿宋" w:eastAsia="仿宋_GB2312"/>
          <w:sz w:val="32"/>
          <w:szCs w:val="32"/>
        </w:rPr>
        <w:t>。绩效运行监控在部门内部通报整改情况：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通过评价发现部分产岀指标设定过于简单，指标设置还需进一步细化；工程项目进度缓慢；绩效管理人员的业务水平不高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bookmarkEnd w:id="0"/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4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2023年度，组织开展绩效自评项目共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个，其中，单位整体支出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个，转移支付项目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个，绩效自评覆盖率为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%。绩效自评结果随部门决算报送财政和随决算公开情况：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2023</w:t>
      </w:r>
      <w:r>
        <w:rPr>
          <w:rFonts w:hint="default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年度我局绩效目标完成情况较好，部门整体支出绩效评价良好，还有不足，需要完善。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</w:rPr>
        <w:t>根据2023年度绩效运行监控、绩效自评等情况，当年盘活财政资金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万元，2024年度增加（减少）部门预算项目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个，增长率/压减率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%。同时对政策和项目资金管理作出调整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2024年，纳入单位预算绩效目标管理的项目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个。其中，部门整体支出绩效目标围绕部门管理、履职效果、能力建设三个维度，设置二级指标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个；项目支出绩效目标围绕成本指标、产出指标、效益指标、满意度指标四个维度，设置二级指标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个。各项绩效目标内容指向明确、细化量化、合理可行，符合规定的格式要求。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部门（单位）支出预算的组成部分，是各部门（单位）为完成其特定的行政任务或事业发展目标，在基本支出预算之外编制的年度项目支出计划。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……</w:t>
      </w: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right="960"/>
        <w:contextualSpacing/>
        <w:jc w:val="right"/>
        <w:rPr>
          <w:rFonts w:hint="default" w:ascii="仿宋_GB2312" w:hAnsi="CIDFont+F6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东乡族自治县城市管理综合执法局</w:t>
      </w: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月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val="en-US" w:eastAsia="zh-CN"/>
        </w:rPr>
        <w:t>东乡县城管局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 xml:space="preserve"> 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>
      <w:pPr>
        <w:adjustRightInd w:val="0"/>
        <w:snapToGrid w:val="0"/>
        <w:spacing w:line="640" w:lineRule="exact"/>
        <w:ind w:left="1773" w:leftChars="767" w:hanging="162" w:hangingChars="58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val="en-US" w:eastAsia="zh-CN"/>
        </w:rPr>
        <w:t>东乡县城管局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整体支出绩效目标及预算项目绩效目标表</w:t>
      </w:r>
    </w:p>
    <w:p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TJhNmU0NmNkZjdhOGIxNzhlNzkyYjEwNjdhYWUifQ=="/>
  </w:docVars>
  <w:rsids>
    <w:rsidRoot w:val="00000000"/>
    <w:rsid w:val="2F847693"/>
    <w:rsid w:val="561913EB"/>
    <w:rsid w:val="7A0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annotation subject"/>
    <w:basedOn w:val="3"/>
    <w:next w:val="3"/>
    <w:link w:val="20"/>
    <w:qFormat/>
    <w:uiPriority w:val="0"/>
    <w:rPr>
      <w:b/>
      <w:bCs/>
    </w:rPr>
  </w:style>
  <w:style w:type="character" w:styleId="11">
    <w:name w:val="line number"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Char"/>
    <w:link w:val="5"/>
    <w:qFormat/>
    <w:uiPriority w:val="0"/>
    <w:rPr>
      <w:sz w:val="18"/>
      <w:szCs w:val="18"/>
    </w:rPr>
  </w:style>
  <w:style w:type="character" w:customStyle="1" w:styleId="14">
    <w:name w:val="页眉 Char"/>
    <w:link w:val="6"/>
    <w:qFormat/>
    <w:uiPriority w:val="0"/>
    <w:rPr>
      <w:sz w:val="18"/>
      <w:szCs w:val="18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7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8">
    <w:name w:val="TOC Heading_735baa5b-0a24-421a-b805-e709b545ce3b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批注文字 Char"/>
    <w:link w:val="3"/>
    <w:qFormat/>
    <w:uiPriority w:val="0"/>
    <w:rPr>
      <w:kern w:val="2"/>
      <w:sz w:val="21"/>
      <w:szCs w:val="22"/>
    </w:rPr>
  </w:style>
  <w:style w:type="character" w:customStyle="1" w:styleId="20">
    <w:name w:val="批注主题 Char"/>
    <w:link w:val="8"/>
    <w:qFormat/>
    <w:uiPriority w:val="0"/>
    <w:rPr>
      <w:b/>
      <w:bCs/>
      <w:kern w:val="2"/>
      <w:sz w:val="21"/>
      <w:szCs w:val="22"/>
    </w:rPr>
  </w:style>
  <w:style w:type="character" w:customStyle="1" w:styleId="2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paragraph" w:customStyle="1" w:styleId="25">
    <w:name w:val="Body Text Indent 21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5574</Words>
  <Characters>6025</Characters>
  <Paragraphs>156</Paragraphs>
  <TotalTime>45</TotalTime>
  <ScaleCrop>false</ScaleCrop>
  <LinksUpToDate>false</LinksUpToDate>
  <CharactersWithSpaces>6039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lenovo</cp:lastModifiedBy>
  <cp:lastPrinted>2022-02-15T07:45:00Z</cp:lastPrinted>
  <dcterms:modified xsi:type="dcterms:W3CDTF">2024-04-27T05:53:44Z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C067C324F7EE44E7A4BD25743FCB6DF5_13</vt:lpwstr>
  </property>
</Properties>
</file>